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9F84" w14:textId="3FBA0475" w:rsidR="006460C4" w:rsidRPr="007E41A2" w:rsidRDefault="006460C4" w:rsidP="006460C4">
      <w:pPr>
        <w:spacing w:after="0" w:line="240" w:lineRule="auto"/>
        <w:ind w:left="5664"/>
        <w:jc w:val="both"/>
        <w:outlineLvl w:val="0"/>
        <w:rPr>
          <w:rFonts w:ascii="Century Gothic" w:eastAsia="Calibri" w:hAnsi="Century Gothic" w:cs="Tahoma,Bold"/>
          <w:sz w:val="20"/>
          <w:szCs w:val="20"/>
        </w:rPr>
      </w:pPr>
      <w:r w:rsidRPr="007E41A2">
        <w:rPr>
          <w:rFonts w:ascii="Century Gothic" w:eastAsia="Calibri" w:hAnsi="Century Gothic" w:cs="Tahoma,Bold"/>
          <w:sz w:val="20"/>
          <w:szCs w:val="20"/>
        </w:rPr>
        <w:t xml:space="preserve">Szamotuły, dnia 15.11.2022 r. </w:t>
      </w:r>
    </w:p>
    <w:p w14:paraId="25124852" w14:textId="77777777" w:rsidR="006460C4" w:rsidRPr="007E41A2" w:rsidRDefault="006460C4" w:rsidP="006460C4">
      <w:pPr>
        <w:spacing w:after="0" w:line="240" w:lineRule="auto"/>
        <w:jc w:val="both"/>
        <w:outlineLvl w:val="0"/>
        <w:rPr>
          <w:rFonts w:ascii="Century Gothic" w:eastAsia="Calibri" w:hAnsi="Century Gothic" w:cs="Tahoma,Bold"/>
          <w:sz w:val="20"/>
          <w:szCs w:val="20"/>
        </w:rPr>
      </w:pPr>
      <w:r w:rsidRPr="007E41A2">
        <w:rPr>
          <w:rFonts w:ascii="Century Gothic" w:eastAsia="Calibri" w:hAnsi="Century Gothic" w:cs="Tahoma,Bold"/>
          <w:sz w:val="20"/>
          <w:szCs w:val="20"/>
        </w:rPr>
        <w:t xml:space="preserve">Samodzielny Publiczny Zakład </w:t>
      </w:r>
    </w:p>
    <w:p w14:paraId="496D4290" w14:textId="77777777" w:rsidR="006460C4" w:rsidRPr="007E41A2" w:rsidRDefault="006460C4" w:rsidP="006460C4">
      <w:pPr>
        <w:spacing w:after="0" w:line="240" w:lineRule="auto"/>
        <w:jc w:val="both"/>
        <w:outlineLvl w:val="0"/>
        <w:rPr>
          <w:rFonts w:ascii="Century Gothic" w:eastAsia="Calibri" w:hAnsi="Century Gothic" w:cs="Tahoma,Bold"/>
          <w:sz w:val="20"/>
          <w:szCs w:val="20"/>
        </w:rPr>
      </w:pPr>
      <w:r w:rsidRPr="007E41A2">
        <w:rPr>
          <w:rFonts w:ascii="Century Gothic" w:eastAsia="Calibri" w:hAnsi="Century Gothic" w:cs="Tahoma,Bold"/>
          <w:sz w:val="20"/>
          <w:szCs w:val="20"/>
        </w:rPr>
        <w:t>Opieki Zdrowotnej w Szamotułach</w:t>
      </w:r>
    </w:p>
    <w:p w14:paraId="7F9F60CE" w14:textId="77777777" w:rsidR="006460C4" w:rsidRPr="007E41A2" w:rsidRDefault="006460C4" w:rsidP="006460C4">
      <w:pPr>
        <w:spacing w:after="0" w:line="240" w:lineRule="auto"/>
        <w:jc w:val="both"/>
        <w:rPr>
          <w:rFonts w:ascii="Century Gothic" w:eastAsia="Calibri" w:hAnsi="Century Gothic" w:cs="Tahoma,Bold"/>
          <w:sz w:val="20"/>
          <w:szCs w:val="20"/>
        </w:rPr>
      </w:pPr>
      <w:r w:rsidRPr="007E41A2">
        <w:rPr>
          <w:rFonts w:ascii="Century Gothic" w:eastAsia="Calibri" w:hAnsi="Century Gothic" w:cs="Tahoma,Bold"/>
          <w:sz w:val="20"/>
          <w:szCs w:val="20"/>
        </w:rPr>
        <w:t>ul. Sukiennicza 13</w:t>
      </w:r>
    </w:p>
    <w:p w14:paraId="2051BE84" w14:textId="77777777" w:rsidR="006460C4" w:rsidRPr="007E41A2" w:rsidRDefault="006460C4" w:rsidP="006460C4">
      <w:pPr>
        <w:spacing w:after="0" w:line="240" w:lineRule="auto"/>
        <w:jc w:val="both"/>
        <w:rPr>
          <w:rFonts w:ascii="Century Gothic" w:eastAsia="Calibri" w:hAnsi="Century Gothic" w:cs="Tahoma,Bold"/>
          <w:b/>
          <w:bCs/>
          <w:sz w:val="20"/>
          <w:szCs w:val="20"/>
        </w:rPr>
      </w:pPr>
      <w:r w:rsidRPr="007E41A2">
        <w:rPr>
          <w:rFonts w:ascii="Century Gothic" w:eastAsia="Calibri" w:hAnsi="Century Gothic" w:cs="Tahoma,Bold"/>
          <w:sz w:val="20"/>
          <w:szCs w:val="20"/>
        </w:rPr>
        <w:t>64-500 Szamotuły</w:t>
      </w:r>
    </w:p>
    <w:p w14:paraId="7B069535" w14:textId="77777777" w:rsidR="006460C4" w:rsidRPr="007E41A2" w:rsidRDefault="006460C4" w:rsidP="006460C4">
      <w:pPr>
        <w:spacing w:after="200" w:line="276" w:lineRule="auto"/>
        <w:jc w:val="both"/>
        <w:rPr>
          <w:rFonts w:ascii="Century Gothic" w:eastAsia="Calibri" w:hAnsi="Century Gothic" w:cs="Tahoma,Bold"/>
          <w:b/>
          <w:bCs/>
          <w:sz w:val="20"/>
          <w:szCs w:val="20"/>
        </w:rPr>
      </w:pPr>
    </w:p>
    <w:p w14:paraId="4697087E" w14:textId="77777777" w:rsidR="006460C4" w:rsidRPr="007E41A2" w:rsidRDefault="006460C4" w:rsidP="006460C4">
      <w:pPr>
        <w:keepNext/>
        <w:spacing w:after="0" w:line="240" w:lineRule="auto"/>
        <w:jc w:val="both"/>
        <w:outlineLvl w:val="2"/>
        <w:rPr>
          <w:rFonts w:ascii="Century Gothic" w:eastAsia="Times New Roman" w:hAnsi="Century Gothic" w:cs="Times New Roman"/>
          <w:sz w:val="20"/>
          <w:szCs w:val="20"/>
          <w:lang w:eastAsia="x-none"/>
        </w:rPr>
      </w:pPr>
      <w:r w:rsidRPr="007E41A2">
        <w:rPr>
          <w:rFonts w:ascii="Century Gothic" w:eastAsia="Times New Roman" w:hAnsi="Century Gothic" w:cs="Times New Roman"/>
          <w:b/>
          <w:bCs/>
          <w:sz w:val="20"/>
          <w:szCs w:val="20"/>
          <w:lang w:val="x-none" w:eastAsia="x-none"/>
        </w:rPr>
        <w:t>ZP-381-</w:t>
      </w:r>
      <w:r w:rsidRPr="007E41A2">
        <w:rPr>
          <w:rFonts w:ascii="Century Gothic" w:eastAsia="Times New Roman" w:hAnsi="Century Gothic" w:cs="Times New Roman"/>
          <w:b/>
          <w:bCs/>
          <w:sz w:val="20"/>
          <w:szCs w:val="20"/>
          <w:lang w:eastAsia="x-none"/>
        </w:rPr>
        <w:t>65</w:t>
      </w:r>
      <w:r w:rsidRPr="007E41A2">
        <w:rPr>
          <w:rFonts w:ascii="Century Gothic" w:eastAsia="Times New Roman" w:hAnsi="Century Gothic" w:cs="Times New Roman"/>
          <w:b/>
          <w:bCs/>
          <w:sz w:val="20"/>
          <w:szCs w:val="20"/>
          <w:lang w:val="x-none" w:eastAsia="x-none"/>
        </w:rPr>
        <w:t>/20</w:t>
      </w:r>
      <w:r w:rsidRPr="007E41A2">
        <w:rPr>
          <w:rFonts w:ascii="Century Gothic" w:eastAsia="Times New Roman" w:hAnsi="Century Gothic" w:cs="Times New Roman"/>
          <w:b/>
          <w:bCs/>
          <w:sz w:val="20"/>
          <w:szCs w:val="20"/>
          <w:lang w:eastAsia="x-none"/>
        </w:rPr>
        <w:t>22</w:t>
      </w:r>
    </w:p>
    <w:p w14:paraId="2B2D9587" w14:textId="77777777" w:rsidR="006460C4" w:rsidRPr="007E41A2" w:rsidRDefault="006460C4" w:rsidP="006460C4">
      <w:pPr>
        <w:spacing w:before="240" w:after="60" w:line="276" w:lineRule="auto"/>
        <w:jc w:val="center"/>
        <w:outlineLvl w:val="0"/>
        <w:rPr>
          <w:rFonts w:ascii="Century Gothic" w:eastAsia="Times New Roman" w:hAnsi="Century Gothic" w:cs="Times New Roman"/>
          <w:b/>
          <w:bCs/>
          <w:kern w:val="28"/>
          <w:sz w:val="20"/>
          <w:szCs w:val="20"/>
          <w:lang w:val="x-none"/>
        </w:rPr>
      </w:pPr>
    </w:p>
    <w:p w14:paraId="0ECE2806" w14:textId="77777777" w:rsidR="006460C4" w:rsidRPr="007E41A2" w:rsidRDefault="006460C4" w:rsidP="006460C4">
      <w:pPr>
        <w:spacing w:before="240" w:after="60" w:line="276" w:lineRule="auto"/>
        <w:jc w:val="center"/>
        <w:outlineLvl w:val="0"/>
        <w:rPr>
          <w:rFonts w:ascii="Century Gothic" w:eastAsia="Times New Roman" w:hAnsi="Century Gothic" w:cs="Times New Roman"/>
          <w:b/>
          <w:bCs/>
          <w:kern w:val="28"/>
          <w:sz w:val="20"/>
          <w:szCs w:val="20"/>
          <w:lang w:val="x-none"/>
        </w:rPr>
      </w:pPr>
      <w:r w:rsidRPr="007E41A2">
        <w:rPr>
          <w:rFonts w:ascii="Century Gothic" w:eastAsia="Times New Roman" w:hAnsi="Century Gothic" w:cs="Times New Roman"/>
          <w:b/>
          <w:bCs/>
          <w:kern w:val="28"/>
          <w:sz w:val="20"/>
          <w:szCs w:val="20"/>
          <w:lang w:val="x-none"/>
        </w:rPr>
        <w:t>WSZYSCY ZAINTERESOWANI WYKONAWCY</w:t>
      </w:r>
    </w:p>
    <w:p w14:paraId="15E228B4" w14:textId="77777777" w:rsidR="006460C4" w:rsidRPr="007E41A2" w:rsidRDefault="006460C4" w:rsidP="006460C4">
      <w:pPr>
        <w:spacing w:before="240" w:after="60" w:line="276" w:lineRule="auto"/>
        <w:jc w:val="center"/>
        <w:outlineLvl w:val="0"/>
        <w:rPr>
          <w:rFonts w:ascii="Century Gothic" w:eastAsia="Times New Roman" w:hAnsi="Century Gothic" w:cs="Times New Roman"/>
          <w:b/>
          <w:bCs/>
          <w:kern w:val="28"/>
          <w:sz w:val="20"/>
          <w:szCs w:val="20"/>
          <w:lang w:val="x-none"/>
        </w:rPr>
      </w:pPr>
    </w:p>
    <w:p w14:paraId="20402F8C" w14:textId="77777777" w:rsidR="006460C4" w:rsidRPr="007E41A2" w:rsidRDefault="006460C4" w:rsidP="006460C4">
      <w:pPr>
        <w:spacing w:after="0" w:line="240" w:lineRule="auto"/>
        <w:jc w:val="both"/>
        <w:rPr>
          <w:rFonts w:ascii="Century Gothic" w:eastAsia="Times New Roman" w:hAnsi="Century Gothic" w:cs="Times New Roman"/>
          <w:sz w:val="20"/>
          <w:szCs w:val="20"/>
          <w:lang w:eastAsia="pl-PL"/>
        </w:rPr>
      </w:pPr>
    </w:p>
    <w:p w14:paraId="596CE380" w14:textId="77777777" w:rsidR="006460C4" w:rsidRPr="007E41A2" w:rsidRDefault="006460C4" w:rsidP="006460C4">
      <w:pPr>
        <w:autoSpaceDE w:val="0"/>
        <w:autoSpaceDN w:val="0"/>
        <w:adjustRightInd w:val="0"/>
        <w:spacing w:after="0" w:line="240" w:lineRule="auto"/>
        <w:jc w:val="both"/>
        <w:rPr>
          <w:rFonts w:ascii="Century Gothic" w:eastAsia="Calibri" w:hAnsi="Century Gothic" w:cs="Calibri"/>
          <w:color w:val="000000"/>
          <w:sz w:val="20"/>
          <w:szCs w:val="20"/>
        </w:rPr>
      </w:pPr>
      <w:r w:rsidRPr="007E41A2">
        <w:rPr>
          <w:rFonts w:ascii="Century Gothic" w:eastAsia="Calibri" w:hAnsi="Century Gothic" w:cs="Tahoma"/>
          <w:color w:val="000000"/>
          <w:sz w:val="20"/>
          <w:szCs w:val="20"/>
        </w:rPr>
        <w:t xml:space="preserve">Dot.: </w:t>
      </w:r>
      <w:r w:rsidRPr="007E41A2">
        <w:rPr>
          <w:rFonts w:ascii="Century Gothic" w:eastAsia="Calibri" w:hAnsi="Century Gothic" w:cs="Calibri"/>
          <w:color w:val="000000"/>
          <w:sz w:val="20"/>
          <w:szCs w:val="20"/>
        </w:rPr>
        <w:t>Postępowania o udzielenie zamówienia publicznego w trybie przetargu nieograniczonego na</w:t>
      </w:r>
      <w:r w:rsidRPr="007E41A2">
        <w:rPr>
          <w:rFonts w:ascii="Century Gothic" w:eastAsia="Calibri" w:hAnsi="Century Gothic" w:cs="Arial-BoldMT"/>
          <w:b/>
          <w:bCs/>
          <w:sz w:val="20"/>
          <w:szCs w:val="20"/>
        </w:rPr>
        <w:t xml:space="preserve"> </w:t>
      </w:r>
      <w:r w:rsidRPr="007E41A2">
        <w:rPr>
          <w:rFonts w:ascii="Century Gothic" w:hAnsi="Century Gothic" w:cs="Garamond"/>
          <w:b/>
          <w:bCs/>
          <w:color w:val="000000"/>
          <w:sz w:val="20"/>
          <w:szCs w:val="20"/>
        </w:rPr>
        <w:t xml:space="preserve">Dostawa </w:t>
      </w:r>
      <w:r w:rsidRPr="007E41A2">
        <w:rPr>
          <w:rFonts w:ascii="Century Gothic" w:hAnsi="Century Gothic" w:cs="Calibri"/>
          <w:b/>
          <w:bCs/>
          <w:color w:val="000000"/>
          <w:sz w:val="20"/>
          <w:szCs w:val="20"/>
          <w:u w:color="000000"/>
          <w:bdr w:val="nil"/>
        </w:rPr>
        <w:t>sprzętu jednorazowego użytku, szybkich testów, barwników na potrzeby laboratorium w SPZOZ w Szamotułach</w:t>
      </w:r>
      <w:r w:rsidRPr="007E41A2">
        <w:rPr>
          <w:rFonts w:ascii="Century Gothic" w:eastAsia="Calibri" w:hAnsi="Century Gothic" w:cs="Arial"/>
          <w:color w:val="000000"/>
          <w:sz w:val="20"/>
          <w:szCs w:val="20"/>
        </w:rPr>
        <w:t xml:space="preserve">, nr sprawy: </w:t>
      </w:r>
      <w:r w:rsidRPr="007E41A2">
        <w:rPr>
          <w:rFonts w:ascii="Century Gothic" w:eastAsia="Calibri" w:hAnsi="Century Gothic" w:cs="Calibri"/>
          <w:color w:val="000000"/>
          <w:sz w:val="20"/>
          <w:szCs w:val="20"/>
        </w:rPr>
        <w:t>ZP-381-65/2022.</w:t>
      </w:r>
    </w:p>
    <w:p w14:paraId="416096F1" w14:textId="77777777" w:rsidR="006460C4" w:rsidRPr="007E41A2" w:rsidRDefault="006460C4" w:rsidP="002467C7">
      <w:pPr>
        <w:autoSpaceDE w:val="0"/>
        <w:autoSpaceDN w:val="0"/>
        <w:adjustRightInd w:val="0"/>
        <w:spacing w:after="0" w:line="240" w:lineRule="auto"/>
        <w:jc w:val="both"/>
        <w:rPr>
          <w:rFonts w:ascii="Century Gothic" w:eastAsia="Calibri" w:hAnsi="Century Gothic" w:cs="Tahoma"/>
          <w:color w:val="000000"/>
          <w:sz w:val="20"/>
          <w:szCs w:val="20"/>
        </w:rPr>
      </w:pPr>
      <w:r w:rsidRPr="007E41A2">
        <w:rPr>
          <w:rFonts w:ascii="Century Gothic" w:eastAsia="Calibri" w:hAnsi="Century Gothic" w:cs="Tahoma"/>
          <w:color w:val="000000"/>
          <w:sz w:val="20"/>
          <w:szCs w:val="20"/>
        </w:rPr>
        <w:t xml:space="preserve">Na podstawie art. 284 ust.1-6  ustawy z dnia 11 września  2019 roku Prawo Zamówień Publicznych, Samodzielny Publiczny Zakład Opieki Zdrowotnej w Szamotułach informuje, że w postępowaniu </w:t>
      </w:r>
      <w:r w:rsidRPr="007E41A2">
        <w:rPr>
          <w:rFonts w:ascii="Century Gothic" w:eastAsia="Calibri" w:hAnsi="Century Gothic" w:cs="Tahoma,Bold"/>
          <w:color w:val="000000"/>
          <w:sz w:val="20"/>
          <w:szCs w:val="20"/>
        </w:rPr>
        <w:t>na:</w:t>
      </w:r>
      <w:r w:rsidRPr="007E41A2">
        <w:rPr>
          <w:rFonts w:ascii="Century Gothic" w:eastAsia="Times New Roman" w:hAnsi="Century Gothic" w:cs="Times New Roman"/>
          <w:sz w:val="20"/>
          <w:szCs w:val="20"/>
          <w:lang w:eastAsia="pl-PL"/>
        </w:rPr>
        <w:t xml:space="preserve"> </w:t>
      </w:r>
      <w:r w:rsidRPr="007E41A2">
        <w:rPr>
          <w:rFonts w:ascii="Century Gothic" w:hAnsi="Century Gothic" w:cs="Garamond"/>
          <w:b/>
          <w:bCs/>
          <w:color w:val="000000"/>
          <w:sz w:val="20"/>
          <w:szCs w:val="20"/>
        </w:rPr>
        <w:t xml:space="preserve">Dostawa </w:t>
      </w:r>
      <w:r w:rsidRPr="007E41A2">
        <w:rPr>
          <w:rFonts w:ascii="Century Gothic" w:hAnsi="Century Gothic" w:cs="Calibri"/>
          <w:b/>
          <w:bCs/>
          <w:color w:val="000000"/>
          <w:sz w:val="20"/>
          <w:szCs w:val="20"/>
          <w:u w:color="000000"/>
          <w:bdr w:val="nil"/>
        </w:rPr>
        <w:t>sprzętu jednorazowego użytku, szybkich testów, barwników na potrzeby laboratorium w SPZOZ w Szamotułach</w:t>
      </w:r>
      <w:r w:rsidRPr="007E41A2">
        <w:rPr>
          <w:rFonts w:ascii="Century Gothic" w:eastAsia="Calibri" w:hAnsi="Century Gothic" w:cs="Calibri"/>
          <w:bCs/>
          <w:color w:val="000000"/>
          <w:sz w:val="20"/>
          <w:szCs w:val="20"/>
        </w:rPr>
        <w:t xml:space="preserve">, </w:t>
      </w:r>
      <w:r w:rsidRPr="007E41A2">
        <w:rPr>
          <w:rFonts w:ascii="Century Gothic" w:eastAsia="Calibri" w:hAnsi="Century Gothic" w:cs="Tahoma"/>
          <w:color w:val="000000"/>
          <w:sz w:val="20"/>
          <w:szCs w:val="20"/>
        </w:rPr>
        <w:t>wpłynęły następujące zapytania odnośnie treści Specyfikacji Warunków Zamówienia (SWZ), na które Zamawiający udziela poniższych wyjaśnień:</w:t>
      </w:r>
    </w:p>
    <w:p w14:paraId="1CBB6A5C" w14:textId="0897F0F9" w:rsidR="00E228AE" w:rsidRDefault="00E228AE" w:rsidP="002467C7">
      <w:pPr>
        <w:numPr>
          <w:ilvl w:val="0"/>
          <w:numId w:val="1"/>
        </w:numPr>
        <w:spacing w:after="0" w:line="240" w:lineRule="auto"/>
        <w:rPr>
          <w:rFonts w:ascii="Century Gothic" w:eastAsia="Times New Roman" w:hAnsi="Century Gothic" w:cs="Times New Roman"/>
          <w:sz w:val="20"/>
          <w:szCs w:val="20"/>
          <w:lang w:eastAsia="pl-PL"/>
        </w:rPr>
      </w:pPr>
      <w:r w:rsidRPr="007E41A2">
        <w:rPr>
          <w:rFonts w:ascii="Century Gothic" w:eastAsia="Times New Roman" w:hAnsi="Century Gothic" w:cs="Times New Roman"/>
          <w:sz w:val="20"/>
          <w:szCs w:val="20"/>
          <w:lang w:eastAsia="pl-PL"/>
        </w:rPr>
        <w:t>Czy Zamawiający dopuszcza zaoferowanie testów do oznaczania Rota/adenowirusy o czułości min. 97,3 % dla Rotawirusów i 95,25 % dla Adenowirusów i o specyficzność min. 97,1 % dla Rotawirusów i 97,7 % dla Adenowirusów?</w:t>
      </w:r>
    </w:p>
    <w:p w14:paraId="48044491" w14:textId="33EEF448" w:rsidR="007E41A2" w:rsidRPr="007E41A2" w:rsidRDefault="007E41A2" w:rsidP="002467C7">
      <w:pPr>
        <w:spacing w:after="0" w:line="240" w:lineRule="auto"/>
        <w:ind w:left="360"/>
        <w:rPr>
          <w:rFonts w:ascii="Century Gothic" w:eastAsia="Times New Roman" w:hAnsi="Century Gothic" w:cs="Times New Roman"/>
          <w:b/>
          <w:bCs/>
          <w:sz w:val="20"/>
          <w:szCs w:val="20"/>
          <w:lang w:eastAsia="pl-PL"/>
        </w:rPr>
      </w:pPr>
      <w:r w:rsidRPr="007E41A2">
        <w:rPr>
          <w:rFonts w:ascii="Century Gothic" w:eastAsia="Times New Roman" w:hAnsi="Century Gothic" w:cs="Times New Roman"/>
          <w:b/>
          <w:bCs/>
          <w:sz w:val="20"/>
          <w:szCs w:val="20"/>
          <w:lang w:eastAsia="pl-PL"/>
        </w:rPr>
        <w:t>Odpowiedź Zamawiającego: zgodnie z odpowiedzią z dnia 14.11.2022 r.</w:t>
      </w:r>
    </w:p>
    <w:p w14:paraId="5CEC1F1E" w14:textId="06EE9986" w:rsidR="00E228AE" w:rsidRDefault="00E228AE" w:rsidP="002467C7">
      <w:pPr>
        <w:numPr>
          <w:ilvl w:val="0"/>
          <w:numId w:val="1"/>
        </w:numPr>
        <w:spacing w:after="0" w:line="240" w:lineRule="auto"/>
        <w:rPr>
          <w:rFonts w:ascii="Century Gothic" w:eastAsia="Times New Roman" w:hAnsi="Century Gothic" w:cs="Times New Roman"/>
          <w:sz w:val="20"/>
          <w:szCs w:val="20"/>
          <w:lang w:eastAsia="pl-PL"/>
        </w:rPr>
      </w:pPr>
      <w:r w:rsidRPr="007E41A2">
        <w:rPr>
          <w:rFonts w:ascii="Century Gothic" w:eastAsia="Times New Roman" w:hAnsi="Century Gothic" w:cs="Times New Roman"/>
          <w:sz w:val="20"/>
          <w:szCs w:val="20"/>
          <w:lang w:eastAsia="pl-PL"/>
        </w:rPr>
        <w:t>Czy Zamawiający dopuszcza zaoferowanie testów do oznaczania Giardia lamblia o czułości min. 95,1 % i specyficzność min. 97,7 %?</w:t>
      </w:r>
    </w:p>
    <w:p w14:paraId="0A84548B" w14:textId="33E1FCBF" w:rsidR="007E41A2" w:rsidRPr="007E41A2" w:rsidRDefault="007E41A2" w:rsidP="002467C7">
      <w:pPr>
        <w:spacing w:after="0" w:line="240" w:lineRule="auto"/>
        <w:ind w:left="360"/>
        <w:rPr>
          <w:rFonts w:ascii="Century Gothic" w:eastAsia="Times New Roman" w:hAnsi="Century Gothic" w:cs="Times New Roman"/>
          <w:b/>
          <w:bCs/>
          <w:sz w:val="20"/>
          <w:szCs w:val="20"/>
          <w:lang w:eastAsia="pl-PL"/>
        </w:rPr>
      </w:pPr>
      <w:bookmarkStart w:id="0" w:name="_Hlk119406661"/>
      <w:r w:rsidRPr="007E41A2">
        <w:rPr>
          <w:rFonts w:ascii="Century Gothic" w:eastAsia="Times New Roman" w:hAnsi="Century Gothic" w:cs="Times New Roman"/>
          <w:b/>
          <w:bCs/>
          <w:sz w:val="20"/>
          <w:szCs w:val="20"/>
          <w:lang w:eastAsia="pl-PL"/>
        </w:rPr>
        <w:t>Odpowiedź Zamawiającego: zgodnie z swz.</w:t>
      </w:r>
    </w:p>
    <w:bookmarkEnd w:id="0"/>
    <w:p w14:paraId="6972979D" w14:textId="7FA9F915" w:rsidR="00E228AE" w:rsidRDefault="00E228AE" w:rsidP="002467C7">
      <w:pPr>
        <w:numPr>
          <w:ilvl w:val="0"/>
          <w:numId w:val="1"/>
        </w:numPr>
        <w:spacing w:after="0" w:line="240" w:lineRule="auto"/>
        <w:rPr>
          <w:rFonts w:ascii="Century Gothic" w:eastAsia="Times New Roman" w:hAnsi="Century Gothic" w:cs="Times New Roman"/>
          <w:sz w:val="20"/>
          <w:szCs w:val="20"/>
          <w:lang w:eastAsia="pl-PL"/>
        </w:rPr>
      </w:pPr>
      <w:r w:rsidRPr="007E41A2">
        <w:rPr>
          <w:rFonts w:ascii="Century Gothic" w:eastAsia="Times New Roman" w:hAnsi="Century Gothic" w:cs="Times New Roman"/>
          <w:sz w:val="20"/>
          <w:szCs w:val="20"/>
          <w:lang w:eastAsia="pl-PL"/>
        </w:rPr>
        <w:t xml:space="preserve">Czy Zamawiający dopuszcza zaoferowanie testów do oznaczania H.Pylori antygen w kale o swoistości min. 98,4 %? </w:t>
      </w:r>
    </w:p>
    <w:p w14:paraId="36C5A8B2" w14:textId="40E3C81F" w:rsidR="007E41A2" w:rsidRPr="007E41A2" w:rsidRDefault="007E41A2" w:rsidP="002467C7">
      <w:pPr>
        <w:spacing w:after="0" w:line="240" w:lineRule="auto"/>
        <w:ind w:left="360"/>
        <w:rPr>
          <w:rFonts w:ascii="Century Gothic" w:eastAsia="Times New Roman" w:hAnsi="Century Gothic" w:cs="Times New Roman"/>
          <w:b/>
          <w:bCs/>
          <w:sz w:val="20"/>
          <w:szCs w:val="20"/>
          <w:lang w:eastAsia="pl-PL"/>
        </w:rPr>
      </w:pPr>
      <w:r w:rsidRPr="007E41A2">
        <w:rPr>
          <w:rFonts w:ascii="Century Gothic" w:eastAsia="Times New Roman" w:hAnsi="Century Gothic" w:cs="Times New Roman"/>
          <w:b/>
          <w:bCs/>
          <w:sz w:val="20"/>
          <w:szCs w:val="20"/>
          <w:lang w:eastAsia="pl-PL"/>
        </w:rPr>
        <w:t xml:space="preserve">Odpowiedź Zamawiającego: </w:t>
      </w:r>
      <w:r w:rsidRPr="007E41A2">
        <w:rPr>
          <w:rFonts w:ascii="Century Gothic" w:eastAsia="Times New Roman" w:hAnsi="Century Gothic" w:cs="Times New Roman"/>
          <w:b/>
          <w:bCs/>
          <w:sz w:val="20"/>
          <w:szCs w:val="20"/>
          <w:lang w:eastAsia="pl-PL"/>
        </w:rPr>
        <w:t>Zamawiający dopuszcza</w:t>
      </w:r>
      <w:r w:rsidRPr="007E41A2">
        <w:rPr>
          <w:rFonts w:ascii="Century Gothic" w:eastAsia="Times New Roman" w:hAnsi="Century Gothic" w:cs="Times New Roman"/>
          <w:b/>
          <w:bCs/>
          <w:sz w:val="20"/>
          <w:szCs w:val="20"/>
          <w:lang w:eastAsia="pl-PL"/>
        </w:rPr>
        <w:t>.</w:t>
      </w:r>
    </w:p>
    <w:p w14:paraId="6C2F5A71" w14:textId="7D81199C" w:rsidR="00E228AE" w:rsidRDefault="00E228AE" w:rsidP="002467C7">
      <w:pPr>
        <w:numPr>
          <w:ilvl w:val="0"/>
          <w:numId w:val="1"/>
        </w:numPr>
        <w:spacing w:after="0" w:line="240" w:lineRule="auto"/>
        <w:rPr>
          <w:rFonts w:ascii="Century Gothic" w:eastAsia="Times New Roman" w:hAnsi="Century Gothic" w:cs="Times New Roman"/>
          <w:sz w:val="20"/>
          <w:szCs w:val="20"/>
          <w:lang w:eastAsia="pl-PL"/>
        </w:rPr>
      </w:pPr>
      <w:r w:rsidRPr="007E41A2">
        <w:rPr>
          <w:rFonts w:ascii="Century Gothic" w:eastAsia="Times New Roman" w:hAnsi="Century Gothic" w:cs="Times New Roman"/>
          <w:sz w:val="20"/>
          <w:szCs w:val="20"/>
          <w:lang w:eastAsia="pl-PL"/>
        </w:rPr>
        <w:t xml:space="preserve">W projekcie umowy w § 4 Zamawiający odwołuje się do § 3 ust. 5. Tymczasem § 3 posiada wyłącznie dwa ustępy. Proszę o wyjaśnienie powyższej rozbieżności i wskazanie właściwego postanowienia umowy, do którego Zamawiający odwołuje się w § 4. </w:t>
      </w:r>
    </w:p>
    <w:p w14:paraId="5CC07965" w14:textId="410CDA0E" w:rsidR="007E41A2" w:rsidRPr="007E41A2" w:rsidRDefault="007E41A2" w:rsidP="002467C7">
      <w:pPr>
        <w:spacing w:after="0" w:line="240" w:lineRule="auto"/>
        <w:ind w:left="360"/>
        <w:rPr>
          <w:rFonts w:ascii="Century Gothic" w:eastAsia="Times New Roman" w:hAnsi="Century Gothic" w:cs="Times New Roman"/>
          <w:b/>
          <w:bCs/>
          <w:sz w:val="20"/>
          <w:szCs w:val="20"/>
          <w:lang w:eastAsia="pl-PL"/>
        </w:rPr>
      </w:pPr>
      <w:r w:rsidRPr="007E41A2">
        <w:rPr>
          <w:rFonts w:ascii="Century Gothic" w:eastAsia="Times New Roman" w:hAnsi="Century Gothic" w:cs="Times New Roman"/>
          <w:b/>
          <w:bCs/>
          <w:sz w:val="20"/>
          <w:szCs w:val="20"/>
          <w:lang w:eastAsia="pl-PL"/>
        </w:rPr>
        <w:t xml:space="preserve">Odpowiedź Zamawiającego: </w:t>
      </w:r>
      <w:r w:rsidRPr="007E41A2">
        <w:rPr>
          <w:rFonts w:ascii="Century Gothic" w:eastAsia="Times New Roman" w:hAnsi="Century Gothic" w:cs="Times New Roman"/>
          <w:b/>
          <w:bCs/>
          <w:sz w:val="20"/>
          <w:szCs w:val="20"/>
          <w:lang w:eastAsia="pl-PL"/>
        </w:rPr>
        <w:t>Zamawiający skorygował zapisy. Do pobrania nowy załącznik</w:t>
      </w:r>
      <w:r w:rsidR="002467C7">
        <w:rPr>
          <w:rFonts w:ascii="Century Gothic" w:eastAsia="Times New Roman" w:hAnsi="Century Gothic" w:cs="Times New Roman"/>
          <w:b/>
          <w:bCs/>
          <w:sz w:val="20"/>
          <w:szCs w:val="20"/>
          <w:lang w:eastAsia="pl-PL"/>
        </w:rPr>
        <w:t>.</w:t>
      </w:r>
    </w:p>
    <w:p w14:paraId="6FAD9D48" w14:textId="60EFEE43" w:rsidR="00E228AE" w:rsidRDefault="00E228AE" w:rsidP="002467C7">
      <w:pPr>
        <w:numPr>
          <w:ilvl w:val="0"/>
          <w:numId w:val="1"/>
        </w:numPr>
        <w:spacing w:after="0" w:line="240" w:lineRule="auto"/>
        <w:rPr>
          <w:rFonts w:ascii="Century Gothic" w:eastAsia="Times New Roman" w:hAnsi="Century Gothic" w:cs="Times New Roman"/>
          <w:sz w:val="20"/>
          <w:szCs w:val="20"/>
          <w:lang w:eastAsia="pl-PL"/>
        </w:rPr>
      </w:pPr>
      <w:r w:rsidRPr="007E41A2">
        <w:rPr>
          <w:rFonts w:ascii="Century Gothic" w:eastAsia="Times New Roman" w:hAnsi="Century Gothic" w:cs="Times New Roman"/>
          <w:sz w:val="20"/>
          <w:szCs w:val="20"/>
          <w:lang w:eastAsia="pl-PL"/>
        </w:rPr>
        <w:t xml:space="preserve">W § 4 projektu Umowy Zamawiający wskazał </w:t>
      </w:r>
      <w:r w:rsidRPr="007E41A2">
        <w:rPr>
          <w:rFonts w:ascii="Century Gothic" w:eastAsia="Times New Roman" w:hAnsi="Century Gothic" w:cs="Times New Roman"/>
          <w:i/>
          <w:iCs/>
          <w:sz w:val="20"/>
          <w:szCs w:val="20"/>
          <w:lang w:eastAsia="pl-PL"/>
        </w:rPr>
        <w:t>„W przypadku uchybienia przez Wykonawcę terminów w realizacji danego zamówienia, Zamawiający ma prawo odstąpienia od umowy w części obejmującej niezrealizowane zamówienie i naliczenia z tego tytułu kary umownej w wysokości 30% zamówienia objętego odstąpieniem”</w:t>
      </w:r>
      <w:r w:rsidRPr="007E41A2">
        <w:rPr>
          <w:rFonts w:ascii="Century Gothic" w:eastAsia="Times New Roman" w:hAnsi="Century Gothic" w:cs="Times New Roman"/>
          <w:sz w:val="20"/>
          <w:szCs w:val="20"/>
          <w:lang w:eastAsia="pl-PL"/>
        </w:rPr>
        <w:t xml:space="preserve">. Proszę o doprecyzowanie, czy powyższy zapis odnosi się wyłącznie do odstąpienia od zamówienia jednostkowego oraz jakie musi być uchybienie terminu, aby Zamawiający odstąpił od zamówienia. Czy Zamawiającemu będzie przysługiwało prawo odstąpienia od zamówienia już w przypadku opóźnienia wynoszącego 1 dzień roboczy? W jaki sposób Zamawiający będzie realizował powyższe prawo odstąpienia? Proszę o doprecyzowanie powyższych kwestii. W obecnym kształcie ww. zapis umowy jest nieprecyzyjny. </w:t>
      </w:r>
    </w:p>
    <w:p w14:paraId="6F9472E7" w14:textId="3DE2440A" w:rsidR="007E41A2" w:rsidRPr="002467C7" w:rsidRDefault="007E41A2" w:rsidP="002467C7">
      <w:pPr>
        <w:spacing w:after="0" w:line="240" w:lineRule="auto"/>
        <w:ind w:left="360"/>
        <w:rPr>
          <w:rFonts w:ascii="Century Gothic" w:eastAsia="Times New Roman" w:hAnsi="Century Gothic" w:cs="Times New Roman"/>
          <w:b/>
          <w:bCs/>
          <w:sz w:val="20"/>
          <w:szCs w:val="20"/>
          <w:lang w:eastAsia="pl-PL"/>
        </w:rPr>
      </w:pPr>
      <w:r w:rsidRPr="002467C7">
        <w:rPr>
          <w:rFonts w:ascii="Century Gothic" w:eastAsia="Times New Roman" w:hAnsi="Century Gothic" w:cs="Times New Roman"/>
          <w:b/>
          <w:bCs/>
          <w:sz w:val="20"/>
          <w:szCs w:val="20"/>
          <w:lang w:eastAsia="pl-PL"/>
        </w:rPr>
        <w:t xml:space="preserve">Odpowiedź </w:t>
      </w:r>
      <w:r w:rsidR="002467C7" w:rsidRPr="002467C7">
        <w:rPr>
          <w:rFonts w:ascii="Century Gothic" w:eastAsia="Times New Roman" w:hAnsi="Century Gothic" w:cs="Times New Roman"/>
          <w:b/>
          <w:bCs/>
          <w:sz w:val="20"/>
          <w:szCs w:val="20"/>
          <w:lang w:eastAsia="pl-PL"/>
        </w:rPr>
        <w:t>Zamawiającego</w:t>
      </w:r>
      <w:r w:rsidRPr="002467C7">
        <w:rPr>
          <w:rFonts w:ascii="Century Gothic" w:eastAsia="Times New Roman" w:hAnsi="Century Gothic" w:cs="Times New Roman"/>
          <w:b/>
          <w:bCs/>
          <w:sz w:val="20"/>
          <w:szCs w:val="20"/>
          <w:lang w:eastAsia="pl-PL"/>
        </w:rPr>
        <w:t>: zgodnie z zapisami projektu umowy.</w:t>
      </w:r>
      <w:r w:rsidR="002467C7" w:rsidRPr="002467C7">
        <w:rPr>
          <w:rFonts w:ascii="Century Gothic" w:eastAsia="Times New Roman" w:hAnsi="Century Gothic" w:cs="Times New Roman"/>
          <w:b/>
          <w:bCs/>
          <w:sz w:val="20"/>
          <w:szCs w:val="20"/>
          <w:lang w:eastAsia="pl-PL"/>
        </w:rPr>
        <w:t xml:space="preserve"> </w:t>
      </w:r>
    </w:p>
    <w:p w14:paraId="0C8FBA2C" w14:textId="00E353E6" w:rsidR="00044E04" w:rsidRDefault="00044E04">
      <w:pPr>
        <w:rPr>
          <w:rFonts w:ascii="Century Gothic" w:hAnsi="Century Gothic"/>
          <w:sz w:val="20"/>
          <w:szCs w:val="20"/>
        </w:rPr>
      </w:pPr>
    </w:p>
    <w:p w14:paraId="2C163EA0" w14:textId="6C6D5013" w:rsidR="002467C7" w:rsidRDefault="002467C7">
      <w:pPr>
        <w:rPr>
          <w:rFonts w:ascii="Century Gothic" w:hAnsi="Century Gothic"/>
          <w:sz w:val="20"/>
          <w:szCs w:val="20"/>
        </w:rPr>
      </w:pPr>
    </w:p>
    <w:p w14:paraId="38A5C6FA" w14:textId="7644638A" w:rsidR="002467C7" w:rsidRDefault="002467C7" w:rsidP="002467C7">
      <w:pPr>
        <w:jc w:val="right"/>
        <w:rPr>
          <w:rFonts w:ascii="Century Gothic" w:hAnsi="Century Gothic"/>
          <w:sz w:val="20"/>
          <w:szCs w:val="20"/>
        </w:rPr>
      </w:pPr>
      <w:r>
        <w:rPr>
          <w:rFonts w:ascii="Century Gothic" w:hAnsi="Century Gothic"/>
          <w:sz w:val="20"/>
          <w:szCs w:val="20"/>
        </w:rPr>
        <w:t>Zatwierdzam:</w:t>
      </w:r>
    </w:p>
    <w:p w14:paraId="38ABA38A" w14:textId="4CBE7149" w:rsidR="002467C7" w:rsidRPr="007E41A2" w:rsidRDefault="002467C7" w:rsidP="002467C7">
      <w:pPr>
        <w:jc w:val="right"/>
        <w:rPr>
          <w:rFonts w:ascii="Century Gothic" w:hAnsi="Century Gothic"/>
          <w:sz w:val="20"/>
          <w:szCs w:val="20"/>
        </w:rPr>
      </w:pPr>
      <w:r>
        <w:rPr>
          <w:rFonts w:ascii="Century Gothic" w:hAnsi="Century Gothic"/>
          <w:sz w:val="20"/>
          <w:szCs w:val="20"/>
        </w:rPr>
        <w:t>DYREKTOR</w:t>
      </w:r>
    </w:p>
    <w:sectPr w:rsidR="002467C7" w:rsidRPr="007E41A2" w:rsidSect="002467C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71B6"/>
    <w:multiLevelType w:val="multilevel"/>
    <w:tmpl w:val="21C6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036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AE"/>
    <w:rsid w:val="00044E04"/>
    <w:rsid w:val="002467C7"/>
    <w:rsid w:val="006460C4"/>
    <w:rsid w:val="007E41A2"/>
    <w:rsid w:val="00E22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637"/>
  <w15:chartTrackingRefBased/>
  <w15:docId w15:val="{457497FC-DC4D-4B7B-83E9-5ED1EAE9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381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Stróżyk</dc:creator>
  <cp:keywords/>
  <dc:description/>
  <cp:lastModifiedBy>Maria Stróżyk</cp:lastModifiedBy>
  <cp:revision>2</cp:revision>
  <dcterms:created xsi:type="dcterms:W3CDTF">2022-11-15T09:25:00Z</dcterms:created>
  <dcterms:modified xsi:type="dcterms:W3CDTF">2022-11-15T11:22:00Z</dcterms:modified>
</cp:coreProperties>
</file>