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1ADD" w14:textId="77777777" w:rsidR="00293D6E" w:rsidRDefault="00293D6E" w:rsidP="00293D6E">
      <w:pPr>
        <w:jc w:val="both"/>
        <w:rPr>
          <w:rFonts w:ascii="Arial" w:eastAsia="Times New Roman" w:hAnsi="Arial" w:cs="Arial"/>
          <w:lang w:val="en-US" w:eastAsia="pl-PL"/>
        </w:rPr>
      </w:pPr>
    </w:p>
    <w:p w14:paraId="44E29F01" w14:textId="789D20EC" w:rsidR="00FF3D93" w:rsidRPr="00FF3D93" w:rsidRDefault="00FF3D93" w:rsidP="00FF3D93">
      <w:pPr>
        <w:spacing w:after="0" w:line="240" w:lineRule="auto"/>
        <w:jc w:val="right"/>
        <w:outlineLvl w:val="0"/>
        <w:rPr>
          <w:rFonts w:ascii="Century Gothic" w:eastAsia="Calibri" w:hAnsi="Century Gothic" w:cs="Tahoma,Bold"/>
          <w:sz w:val="24"/>
          <w:szCs w:val="24"/>
        </w:rPr>
      </w:pPr>
      <w:r w:rsidRPr="00FF3D93">
        <w:rPr>
          <w:rFonts w:ascii="Century Gothic" w:eastAsia="Calibri" w:hAnsi="Century Gothic" w:cs="Tahoma,Bold"/>
          <w:sz w:val="24"/>
          <w:szCs w:val="24"/>
        </w:rPr>
        <w:t xml:space="preserve">Szamotuły, dnia </w:t>
      </w:r>
      <w:r w:rsidR="00E159FD">
        <w:rPr>
          <w:rFonts w:ascii="Century Gothic" w:eastAsia="Calibri" w:hAnsi="Century Gothic" w:cs="Tahoma,Bold"/>
          <w:sz w:val="24"/>
          <w:szCs w:val="24"/>
        </w:rPr>
        <w:t>0</w:t>
      </w:r>
      <w:r w:rsidR="00F64615">
        <w:rPr>
          <w:rFonts w:ascii="Century Gothic" w:eastAsia="Calibri" w:hAnsi="Century Gothic" w:cs="Tahoma,Bold"/>
          <w:sz w:val="24"/>
          <w:szCs w:val="24"/>
        </w:rPr>
        <w:t>7</w:t>
      </w:r>
      <w:r w:rsidRPr="00FF3D93">
        <w:rPr>
          <w:rFonts w:ascii="Century Gothic" w:eastAsia="Calibri" w:hAnsi="Century Gothic" w:cs="Tahoma,Bold"/>
          <w:sz w:val="24"/>
          <w:szCs w:val="24"/>
        </w:rPr>
        <w:t xml:space="preserve">.09.2021 r. </w:t>
      </w:r>
    </w:p>
    <w:p w14:paraId="44FABA49" w14:textId="77777777" w:rsidR="00FF3D93" w:rsidRPr="00FF3D93" w:rsidRDefault="00FF3D93" w:rsidP="00FF3D93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4"/>
          <w:szCs w:val="24"/>
        </w:rPr>
      </w:pPr>
      <w:r w:rsidRPr="00FF3D93">
        <w:rPr>
          <w:rFonts w:ascii="Century Gothic" w:eastAsia="Calibri" w:hAnsi="Century Gothic" w:cs="Tahoma,Bold"/>
          <w:sz w:val="24"/>
          <w:szCs w:val="24"/>
        </w:rPr>
        <w:t>Samodzielny Publiczny Zakład</w:t>
      </w:r>
    </w:p>
    <w:p w14:paraId="61C962F3" w14:textId="77777777" w:rsidR="00FF3D93" w:rsidRPr="00FF3D93" w:rsidRDefault="00FF3D93" w:rsidP="00FF3D93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4"/>
          <w:szCs w:val="24"/>
        </w:rPr>
      </w:pPr>
      <w:r w:rsidRPr="00FF3D93">
        <w:rPr>
          <w:rFonts w:ascii="Century Gothic" w:eastAsia="Calibri" w:hAnsi="Century Gothic" w:cs="Tahoma,Bold"/>
          <w:sz w:val="24"/>
          <w:szCs w:val="24"/>
        </w:rPr>
        <w:t>Opieki Zdrowotnej w Szamotułach</w:t>
      </w:r>
    </w:p>
    <w:p w14:paraId="05E5FBB8" w14:textId="77777777" w:rsidR="00FF3D93" w:rsidRPr="00FF3D93" w:rsidRDefault="00FF3D93" w:rsidP="00FF3D93">
      <w:pPr>
        <w:spacing w:after="0" w:line="240" w:lineRule="auto"/>
        <w:jc w:val="both"/>
        <w:rPr>
          <w:rFonts w:ascii="Century Gothic" w:eastAsia="Calibri" w:hAnsi="Century Gothic" w:cs="Tahoma,Bold"/>
          <w:sz w:val="24"/>
          <w:szCs w:val="24"/>
        </w:rPr>
      </w:pPr>
      <w:r w:rsidRPr="00FF3D93">
        <w:rPr>
          <w:rFonts w:ascii="Century Gothic" w:eastAsia="Calibri" w:hAnsi="Century Gothic" w:cs="Tahoma,Bold"/>
          <w:sz w:val="24"/>
          <w:szCs w:val="24"/>
        </w:rPr>
        <w:t>ul. Sukiennicza 13</w:t>
      </w:r>
    </w:p>
    <w:p w14:paraId="62F6637C" w14:textId="77777777" w:rsidR="00FF3D93" w:rsidRPr="00FF3D93" w:rsidRDefault="00FF3D93" w:rsidP="00FF3D93">
      <w:pPr>
        <w:spacing w:after="0" w:line="240" w:lineRule="auto"/>
        <w:jc w:val="both"/>
        <w:rPr>
          <w:rFonts w:ascii="Century Gothic" w:eastAsia="Calibri" w:hAnsi="Century Gothic" w:cs="Tahoma,Bold"/>
          <w:b/>
          <w:bCs/>
          <w:sz w:val="24"/>
          <w:szCs w:val="24"/>
        </w:rPr>
      </w:pPr>
      <w:r w:rsidRPr="00FF3D93">
        <w:rPr>
          <w:rFonts w:ascii="Century Gothic" w:eastAsia="Calibri" w:hAnsi="Century Gothic" w:cs="Tahoma,Bold"/>
          <w:sz w:val="24"/>
          <w:szCs w:val="24"/>
        </w:rPr>
        <w:t>64-500 Szamotuły</w:t>
      </w:r>
    </w:p>
    <w:p w14:paraId="21537B3E" w14:textId="77777777" w:rsidR="00FF3D93" w:rsidRPr="00FF3D93" w:rsidRDefault="00FF3D93" w:rsidP="00FF3D93">
      <w:pPr>
        <w:jc w:val="both"/>
        <w:rPr>
          <w:rFonts w:ascii="Century Gothic" w:eastAsia="Calibri" w:hAnsi="Century Gothic" w:cs="Tahoma,Bold"/>
          <w:b/>
          <w:bCs/>
          <w:sz w:val="24"/>
          <w:szCs w:val="24"/>
        </w:rPr>
      </w:pPr>
    </w:p>
    <w:p w14:paraId="1AABC248" w14:textId="78DED1E2" w:rsidR="00FF3D93" w:rsidRPr="00FF3D93" w:rsidRDefault="00FF3D93" w:rsidP="00FF3D93">
      <w:pPr>
        <w:keepNext/>
        <w:spacing w:after="0" w:line="240" w:lineRule="auto"/>
        <w:jc w:val="both"/>
        <w:outlineLvl w:val="2"/>
        <w:rPr>
          <w:rFonts w:ascii="Century Gothic" w:eastAsia="Times New Roman" w:hAnsi="Century Gothic" w:cs="Times New Roman"/>
          <w:sz w:val="24"/>
          <w:szCs w:val="24"/>
          <w:lang w:eastAsia="x-none"/>
        </w:rPr>
      </w:pPr>
      <w:r w:rsidRPr="00FF3D93">
        <w:rPr>
          <w:rFonts w:ascii="Century Gothic" w:eastAsia="Times New Roman" w:hAnsi="Century Gothic" w:cs="Times New Roman"/>
          <w:b/>
          <w:bCs/>
          <w:sz w:val="24"/>
          <w:szCs w:val="24"/>
          <w:lang w:val="x-none" w:eastAsia="x-none"/>
        </w:rPr>
        <w:t>ZP-381-</w:t>
      </w:r>
      <w:r w:rsidRPr="00FF3D93">
        <w:rPr>
          <w:rFonts w:ascii="Century Gothic" w:eastAsia="Times New Roman" w:hAnsi="Century Gothic" w:cs="Times New Roman"/>
          <w:b/>
          <w:bCs/>
          <w:sz w:val="24"/>
          <w:szCs w:val="24"/>
          <w:lang w:eastAsia="x-none"/>
        </w:rPr>
        <w:t>31</w:t>
      </w:r>
      <w:r w:rsidRPr="00FF3D93">
        <w:rPr>
          <w:rFonts w:ascii="Century Gothic" w:eastAsia="Times New Roman" w:hAnsi="Century Gothic" w:cs="Times New Roman"/>
          <w:b/>
          <w:bCs/>
          <w:sz w:val="24"/>
          <w:szCs w:val="24"/>
          <w:lang w:val="x-none" w:eastAsia="x-none"/>
        </w:rPr>
        <w:t>/20</w:t>
      </w:r>
      <w:r w:rsidRPr="00FF3D93">
        <w:rPr>
          <w:rFonts w:ascii="Century Gothic" w:eastAsia="Times New Roman" w:hAnsi="Century Gothic" w:cs="Times New Roman"/>
          <w:b/>
          <w:bCs/>
          <w:sz w:val="24"/>
          <w:szCs w:val="24"/>
          <w:lang w:eastAsia="x-none"/>
        </w:rPr>
        <w:t>21</w:t>
      </w:r>
    </w:p>
    <w:p w14:paraId="4A4905F1" w14:textId="77777777" w:rsidR="00FF3D93" w:rsidRPr="00FF3D93" w:rsidRDefault="00FF3D93" w:rsidP="00FF3D93">
      <w:pPr>
        <w:rPr>
          <w:rFonts w:ascii="Century Gothic" w:eastAsia="Calibri" w:hAnsi="Century Gothic" w:cs="Tahoma,Bold"/>
          <w:b/>
          <w:bCs/>
          <w:sz w:val="24"/>
          <w:szCs w:val="24"/>
        </w:rPr>
      </w:pPr>
    </w:p>
    <w:p w14:paraId="6E75DAD2" w14:textId="77777777" w:rsidR="00FF3D93" w:rsidRPr="00FF3D93" w:rsidRDefault="00FF3D93" w:rsidP="00FF3D93">
      <w:pPr>
        <w:spacing w:before="240" w:after="60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4"/>
          <w:szCs w:val="24"/>
          <w:lang w:val="x-none"/>
        </w:rPr>
      </w:pPr>
      <w:r w:rsidRPr="00FF3D93">
        <w:rPr>
          <w:rFonts w:ascii="Century Gothic" w:eastAsia="Times New Roman" w:hAnsi="Century Gothic" w:cs="Times New Roman"/>
          <w:b/>
          <w:bCs/>
          <w:kern w:val="28"/>
          <w:sz w:val="24"/>
          <w:szCs w:val="24"/>
          <w:lang w:val="x-none"/>
        </w:rPr>
        <w:t>WSZYSCY ZAINTERESOWANI WYKONAWCY</w:t>
      </w:r>
    </w:p>
    <w:p w14:paraId="3A589630" w14:textId="77777777" w:rsidR="00FF3D93" w:rsidRPr="00FF3D93" w:rsidRDefault="00FF3D93" w:rsidP="00FF3D93">
      <w:pPr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7386787D" w14:textId="72298821" w:rsidR="00FF3D93" w:rsidRPr="00FF3D93" w:rsidRDefault="00FF3D93" w:rsidP="00FF3D93">
      <w:pPr>
        <w:autoSpaceDE w:val="0"/>
        <w:autoSpaceDN w:val="0"/>
        <w:adjustRightInd w:val="0"/>
        <w:spacing w:after="0" w:line="259" w:lineRule="auto"/>
        <w:jc w:val="both"/>
        <w:rPr>
          <w:rFonts w:ascii="Century Gothic" w:eastAsia="Calibri" w:hAnsi="Century Gothic" w:cs="Calibri"/>
          <w:color w:val="000000"/>
          <w:sz w:val="24"/>
          <w:szCs w:val="24"/>
        </w:rPr>
      </w:pPr>
      <w:r w:rsidRPr="00FF3D93">
        <w:rPr>
          <w:rFonts w:ascii="Century Gothic" w:eastAsia="Calibri" w:hAnsi="Century Gothic" w:cs="Tahoma"/>
          <w:color w:val="000000"/>
          <w:sz w:val="24"/>
          <w:szCs w:val="24"/>
        </w:rPr>
        <w:t xml:space="preserve">Dot.: </w:t>
      </w:r>
      <w:r w:rsidRPr="00FF3D93">
        <w:rPr>
          <w:rFonts w:ascii="Century Gothic" w:eastAsia="Calibri" w:hAnsi="Century Gothic" w:cs="Calibri"/>
          <w:color w:val="000000"/>
          <w:sz w:val="24"/>
          <w:szCs w:val="24"/>
        </w:rPr>
        <w:t>Postępowania o udzielenie zamówienia publicznego w trybie przetargu nieograniczonego na</w:t>
      </w:r>
      <w:r w:rsidRPr="00FF3D93">
        <w:rPr>
          <w:rFonts w:ascii="Century Gothic" w:eastAsia="Calibri" w:hAnsi="Century Gothic" w:cs="Calibri"/>
          <w:b/>
          <w:color w:val="000000"/>
          <w:sz w:val="24"/>
          <w:szCs w:val="24"/>
        </w:rPr>
        <w:t>:</w:t>
      </w:r>
      <w:r w:rsidRPr="00FF3D93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</w:t>
      </w:r>
      <w:r w:rsidRPr="00FF3D93">
        <w:rPr>
          <w:rFonts w:ascii="Century Gothic" w:eastAsia="Calibri" w:hAnsi="Century Gothic" w:cs="Times New Roman"/>
          <w:b/>
          <w:bCs/>
          <w:sz w:val="24"/>
          <w:szCs w:val="24"/>
          <w:lang w:eastAsia="pl-PL"/>
        </w:rPr>
        <w:t xml:space="preserve">Dostawa produktów farmaceutycznych, </w:t>
      </w:r>
      <w:bookmarkStart w:id="0" w:name="_Hlk511628317"/>
      <w:r w:rsidRPr="00FF3D93">
        <w:rPr>
          <w:rFonts w:ascii="Century Gothic" w:eastAsia="Calibri" w:hAnsi="Century Gothic" w:cs="Times New Roman"/>
          <w:b/>
          <w:bCs/>
          <w:sz w:val="24"/>
          <w:szCs w:val="24"/>
          <w:lang w:eastAsia="pl-PL"/>
        </w:rPr>
        <w:t xml:space="preserve">płynów infuzyjnych, </w:t>
      </w:r>
      <w:bookmarkEnd w:id="0"/>
      <w:r w:rsidRPr="00FF3D93">
        <w:rPr>
          <w:rFonts w:ascii="Century Gothic" w:eastAsia="Calibri" w:hAnsi="Century Gothic" w:cs="Times New Roman"/>
          <w:b/>
          <w:bCs/>
          <w:sz w:val="24"/>
          <w:szCs w:val="24"/>
          <w:lang w:eastAsia="pl-PL"/>
        </w:rPr>
        <w:t>płynów do irygacji i hemodializ, specjalnych produktów odżywczych, produktów do żywienia dojelitowego i pozajelitowego, kontrastów dla SPZOZ w Szamotułach</w:t>
      </w:r>
      <w:r w:rsidRPr="00FF3D93">
        <w:rPr>
          <w:rFonts w:ascii="Century Gothic" w:eastAsia="Calibri" w:hAnsi="Century Gothic" w:cs="Arial"/>
          <w:color w:val="000000"/>
          <w:sz w:val="24"/>
          <w:szCs w:val="24"/>
        </w:rPr>
        <w:t xml:space="preserve">, nr sprawy: </w:t>
      </w:r>
      <w:r w:rsidRPr="00FF3D93">
        <w:rPr>
          <w:rFonts w:ascii="Century Gothic" w:eastAsia="Calibri" w:hAnsi="Century Gothic" w:cs="Calibri"/>
          <w:color w:val="000000"/>
          <w:sz w:val="24"/>
          <w:szCs w:val="24"/>
        </w:rPr>
        <w:t>ZP-381-31/2021.</w:t>
      </w:r>
    </w:p>
    <w:p w14:paraId="08C95770" w14:textId="64807F97" w:rsidR="00FF3D93" w:rsidRPr="00FF3D93" w:rsidRDefault="00FF3D93" w:rsidP="00FF3D93">
      <w:pPr>
        <w:spacing w:after="0" w:line="240" w:lineRule="auto"/>
        <w:jc w:val="both"/>
        <w:rPr>
          <w:rFonts w:ascii="Century Gothic" w:eastAsia="Calibri" w:hAnsi="Century Gothic" w:cs="Tahoma"/>
          <w:color w:val="000000"/>
          <w:sz w:val="24"/>
          <w:szCs w:val="24"/>
        </w:rPr>
      </w:pPr>
      <w:r w:rsidRPr="00FF3D93">
        <w:rPr>
          <w:rFonts w:ascii="Century Gothic" w:eastAsia="Calibri" w:hAnsi="Century Gothic" w:cs="Tahoma"/>
          <w:color w:val="000000"/>
          <w:sz w:val="24"/>
          <w:szCs w:val="24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FF3D93">
        <w:rPr>
          <w:rFonts w:ascii="Century Gothic" w:eastAsia="Calibri" w:hAnsi="Century Gothic" w:cs="Tahoma,Bold"/>
          <w:color w:val="000000"/>
          <w:sz w:val="24"/>
          <w:szCs w:val="24"/>
        </w:rPr>
        <w:t>na:</w:t>
      </w:r>
      <w:r w:rsidRPr="00FF3D93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</w:t>
      </w:r>
      <w:r w:rsidRPr="00FF3D93">
        <w:rPr>
          <w:rFonts w:ascii="Century Gothic" w:eastAsia="Calibri" w:hAnsi="Century Gothic" w:cs="Times New Roman"/>
          <w:b/>
          <w:bCs/>
          <w:sz w:val="24"/>
          <w:szCs w:val="24"/>
          <w:lang w:eastAsia="pl-PL"/>
        </w:rPr>
        <w:t>Dostawa produktów farmaceutycznych, płynów infuzyjnych, płynów do irygacji i hemodializ, specjalnych produktów odżywczych, produktów do żywienia dojelitowego i pozajelitowego, kontrastów dla SPZOZ w Szamotułach</w:t>
      </w:r>
      <w:r w:rsidRPr="00FF3D93">
        <w:rPr>
          <w:rFonts w:ascii="Century Gothic" w:eastAsia="Calibri" w:hAnsi="Century Gothic" w:cs="Calibri"/>
          <w:bCs/>
          <w:color w:val="000000"/>
          <w:sz w:val="24"/>
          <w:szCs w:val="24"/>
        </w:rPr>
        <w:t xml:space="preserve">, </w:t>
      </w:r>
      <w:r w:rsidRPr="00FF3D93">
        <w:rPr>
          <w:rFonts w:ascii="Century Gothic" w:eastAsia="Calibri" w:hAnsi="Century Gothic" w:cs="Tahoma"/>
          <w:color w:val="000000"/>
          <w:sz w:val="24"/>
          <w:szCs w:val="24"/>
        </w:rPr>
        <w:t>wpłynęły następujące zapytania odnośnie treści Specyfikacji Warunków Zamówienia (SWZ), na które Zamawiający udziela poniższych wyjaśnień:</w:t>
      </w:r>
    </w:p>
    <w:p w14:paraId="4BABB167" w14:textId="77777777" w:rsidR="00E30819" w:rsidRPr="00FF3D93" w:rsidRDefault="00E30819" w:rsidP="002F179D">
      <w:pPr>
        <w:pStyle w:val="Default"/>
        <w:rPr>
          <w:rFonts w:ascii="Century Gothic" w:hAnsi="Century Gothic"/>
          <w:b/>
          <w:bCs/>
        </w:rPr>
      </w:pPr>
    </w:p>
    <w:p w14:paraId="14C19570" w14:textId="509A0EE7" w:rsidR="002F179D" w:rsidRDefault="00652D82" w:rsidP="002F179D">
      <w:pPr>
        <w:pStyle w:val="Default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1. </w:t>
      </w:r>
      <w:r w:rsidR="002F179D" w:rsidRPr="00FF3D93">
        <w:rPr>
          <w:rFonts w:ascii="Century Gothic" w:hAnsi="Century Gothic"/>
          <w:b/>
          <w:bCs/>
        </w:rPr>
        <w:t xml:space="preserve">Pytanie 1 </w:t>
      </w:r>
      <w:r w:rsidR="002F179D" w:rsidRPr="00FF3D93">
        <w:rPr>
          <w:rFonts w:ascii="Century Gothic" w:hAnsi="Century Gothic"/>
        </w:rPr>
        <w:t xml:space="preserve">– Czy Zamawiający wyrazi zgodę na zmianę postaci proponowanych preparatów – tabletki na tabletki powlekane lub kapsułki lub drażetki i odwrotnie, fiolki na ampułki lub ampułko-strzykawki i odwrotnie? </w:t>
      </w:r>
    </w:p>
    <w:p w14:paraId="2549BB58" w14:textId="1E93AF5E" w:rsidR="00E159FD" w:rsidRPr="00E159FD" w:rsidRDefault="00E159FD" w:rsidP="002F179D">
      <w:pPr>
        <w:pStyle w:val="Default"/>
        <w:rPr>
          <w:rFonts w:ascii="Century Gothic" w:hAnsi="Century Gothic"/>
          <w:b/>
          <w:bCs/>
        </w:rPr>
      </w:pPr>
      <w:r w:rsidRPr="00E159FD">
        <w:rPr>
          <w:rFonts w:ascii="Century Gothic" w:hAnsi="Century Gothic"/>
          <w:b/>
          <w:bCs/>
        </w:rPr>
        <w:t>Odpowiedź Zamawiającego: Zamawiający wyraża zgodę za wyjątkiem pozycji opisanych w uwagach pod pakietami</w:t>
      </w:r>
      <w:r>
        <w:rPr>
          <w:rFonts w:ascii="Century Gothic" w:hAnsi="Century Gothic"/>
          <w:b/>
          <w:bCs/>
        </w:rPr>
        <w:t>.</w:t>
      </w:r>
    </w:p>
    <w:p w14:paraId="618E9512" w14:textId="77777777" w:rsidR="002F179D" w:rsidRPr="00FF3D93" w:rsidRDefault="002F179D" w:rsidP="002F179D">
      <w:pPr>
        <w:pStyle w:val="Default"/>
        <w:rPr>
          <w:rFonts w:ascii="Century Gothic" w:hAnsi="Century Gothic"/>
        </w:rPr>
      </w:pPr>
    </w:p>
    <w:p w14:paraId="35F9B3E6" w14:textId="00BF451A" w:rsidR="002F179D" w:rsidRPr="00FF3D93" w:rsidRDefault="00652D82" w:rsidP="002F179D">
      <w:pPr>
        <w:pStyle w:val="Tekstpodstawowy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2. </w:t>
      </w:r>
      <w:r w:rsidR="002F179D" w:rsidRPr="00FF3D93">
        <w:rPr>
          <w:rFonts w:ascii="Century Gothic" w:hAnsi="Century Gothic"/>
          <w:b/>
          <w:bCs/>
          <w:sz w:val="24"/>
          <w:szCs w:val="24"/>
        </w:rPr>
        <w:t xml:space="preserve">Pytanie 2 -  </w:t>
      </w:r>
      <w:r w:rsidR="002F179D" w:rsidRPr="00FF3D93">
        <w:rPr>
          <w:rFonts w:ascii="Century Gothic" w:hAnsi="Century Gothic"/>
          <w:sz w:val="24"/>
          <w:szCs w:val="24"/>
        </w:rPr>
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14:paraId="73EF6350" w14:textId="624B005A" w:rsidR="000F38C8" w:rsidRPr="00E159FD" w:rsidRDefault="000F38C8" w:rsidP="000F38C8">
      <w:pPr>
        <w:pStyle w:val="Default"/>
        <w:rPr>
          <w:rFonts w:ascii="Century Gothic" w:hAnsi="Century Gothic"/>
          <w:b/>
          <w:bCs/>
        </w:rPr>
      </w:pPr>
      <w:r w:rsidRPr="00E159FD">
        <w:rPr>
          <w:rFonts w:ascii="Century Gothic" w:hAnsi="Century Gothic"/>
          <w:b/>
          <w:bCs/>
        </w:rPr>
        <w:t xml:space="preserve">Odpowiedź Zamawiającego: Zamawiający wyraża zgodę </w:t>
      </w:r>
      <w:r>
        <w:rPr>
          <w:rFonts w:ascii="Century Gothic" w:hAnsi="Century Gothic"/>
          <w:b/>
          <w:bCs/>
        </w:rPr>
        <w:t xml:space="preserve">na przeliczanie opakowań zaokrąglając w górę do pełnych opakowań </w:t>
      </w:r>
      <w:r w:rsidRPr="00E159FD">
        <w:rPr>
          <w:rFonts w:ascii="Century Gothic" w:hAnsi="Century Gothic"/>
          <w:b/>
          <w:bCs/>
        </w:rPr>
        <w:t>za wyjątkiem pozycji opisanych w uwagach pod pakietami</w:t>
      </w:r>
      <w:r>
        <w:rPr>
          <w:rFonts w:ascii="Century Gothic" w:hAnsi="Century Gothic"/>
          <w:b/>
          <w:bCs/>
        </w:rPr>
        <w:t>.</w:t>
      </w:r>
    </w:p>
    <w:p w14:paraId="477748A9" w14:textId="77777777" w:rsidR="002F179D" w:rsidRPr="00FF3D93" w:rsidRDefault="002F179D" w:rsidP="002F179D">
      <w:pPr>
        <w:pStyle w:val="Default"/>
        <w:rPr>
          <w:rFonts w:ascii="Century Gothic" w:hAnsi="Century Gothic"/>
          <w:b/>
          <w:bCs/>
        </w:rPr>
      </w:pPr>
    </w:p>
    <w:p w14:paraId="462B4786" w14:textId="6BAB4800" w:rsidR="002F179D" w:rsidRDefault="00652D82" w:rsidP="002F179D">
      <w:pPr>
        <w:pStyle w:val="Tekstpodstawowy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3. </w:t>
      </w:r>
      <w:r w:rsidR="002F179D" w:rsidRPr="00FF3D93">
        <w:rPr>
          <w:rFonts w:ascii="Century Gothic" w:hAnsi="Century Gothic"/>
          <w:b/>
          <w:bCs/>
          <w:sz w:val="24"/>
          <w:szCs w:val="24"/>
        </w:rPr>
        <w:t>Pytanie 3 -</w:t>
      </w:r>
      <w:r w:rsidR="002F179D" w:rsidRPr="00FF3D93">
        <w:rPr>
          <w:rFonts w:ascii="Century Gothic" w:hAnsi="Century Gothic"/>
          <w:sz w:val="24"/>
          <w:szCs w:val="24"/>
        </w:rPr>
        <w:t xml:space="preserve">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</w:t>
      </w:r>
      <w:r w:rsidR="002F179D" w:rsidRPr="00FF3D93">
        <w:rPr>
          <w:rFonts w:ascii="Century Gothic" w:hAnsi="Century Gothic"/>
          <w:sz w:val="24"/>
          <w:szCs w:val="24"/>
        </w:rPr>
        <w:lastRenderedPageBreak/>
        <w:t>ekonomicznym (czy podać pełne ilości opakowań zaokrąglone w górę, czy ilość opakowań przeliczyć do dwóch miejsc po przecinku)?</w:t>
      </w:r>
    </w:p>
    <w:p w14:paraId="6F1D7612" w14:textId="32E9892E" w:rsidR="000F38C8" w:rsidRPr="00E159FD" w:rsidRDefault="000F38C8" w:rsidP="000F38C8">
      <w:pPr>
        <w:pStyle w:val="Default"/>
        <w:jc w:val="both"/>
        <w:rPr>
          <w:rFonts w:ascii="Century Gothic" w:hAnsi="Century Gothic"/>
          <w:b/>
          <w:bCs/>
        </w:rPr>
      </w:pPr>
      <w:bookmarkStart w:id="1" w:name="_Hlk81466990"/>
      <w:r w:rsidRPr="00E159FD">
        <w:rPr>
          <w:rFonts w:ascii="Century Gothic" w:hAnsi="Century Gothic"/>
          <w:b/>
          <w:bCs/>
        </w:rPr>
        <w:t>Odpowiedź Zamawiającego:</w:t>
      </w:r>
      <w:bookmarkEnd w:id="1"/>
      <w:r w:rsidRPr="00E159FD">
        <w:rPr>
          <w:rFonts w:ascii="Century Gothic" w:hAnsi="Century Gothic"/>
          <w:b/>
          <w:bCs/>
        </w:rPr>
        <w:t xml:space="preserve"> Zamawiający</w:t>
      </w:r>
      <w:r>
        <w:rPr>
          <w:rFonts w:ascii="Century Gothic" w:hAnsi="Century Gothic"/>
          <w:b/>
          <w:bCs/>
        </w:rPr>
        <w:t xml:space="preserve"> dopuszcza przeliczanie ilości, zaokrąglając w górę do pełnych opakowań.</w:t>
      </w:r>
    </w:p>
    <w:p w14:paraId="6B2B16FA" w14:textId="77777777" w:rsidR="000F38C8" w:rsidRPr="00FF3D93" w:rsidRDefault="000F38C8" w:rsidP="002F179D">
      <w:pPr>
        <w:pStyle w:val="Tekstpodstawowy"/>
        <w:rPr>
          <w:rFonts w:ascii="Century Gothic" w:hAnsi="Century Gothic"/>
          <w:sz w:val="24"/>
          <w:szCs w:val="24"/>
        </w:rPr>
      </w:pPr>
    </w:p>
    <w:p w14:paraId="5B3612FE" w14:textId="281EC117" w:rsidR="002F179D" w:rsidRPr="00FF3D93" w:rsidRDefault="00652D82" w:rsidP="00C2362B">
      <w:pPr>
        <w:pStyle w:val="Default"/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4. </w:t>
      </w:r>
      <w:r w:rsidR="002F179D" w:rsidRPr="00FF3D93">
        <w:rPr>
          <w:rFonts w:ascii="Century Gothic" w:hAnsi="Century Gothic"/>
          <w:b/>
          <w:bCs/>
        </w:rPr>
        <w:t xml:space="preserve">Pytanie 4 </w:t>
      </w:r>
      <w:r w:rsidR="002F179D" w:rsidRPr="00FF3D93">
        <w:rPr>
          <w:rFonts w:ascii="Century Gothic" w:hAnsi="Century Gothic"/>
        </w:rPr>
        <w:t xml:space="preserve">– Zwracamy się z prośbą o określenie w jaki sposób postąpić w przypadku zaprzestania lub braku produkcji danego preparatu. Czy Zamawiający wyrazi zgodę na podanie ostatniej ceny i informacji pod pakietem? </w:t>
      </w:r>
    </w:p>
    <w:p w14:paraId="01861429" w14:textId="06EA2F6C" w:rsidR="00E30819" w:rsidRPr="00FF3D93" w:rsidRDefault="000F38C8" w:rsidP="00C2362B">
      <w:pPr>
        <w:pStyle w:val="Default"/>
        <w:jc w:val="both"/>
        <w:rPr>
          <w:rFonts w:ascii="Century Gothic" w:hAnsi="Century Gothic"/>
          <w:b/>
          <w:bCs/>
        </w:rPr>
      </w:pPr>
      <w:r w:rsidRPr="00E159FD">
        <w:rPr>
          <w:rFonts w:ascii="Century Gothic" w:hAnsi="Century Gothic"/>
          <w:b/>
          <w:bCs/>
        </w:rPr>
        <w:t>Odpowiedź Zamawiającego:</w:t>
      </w:r>
      <w:r>
        <w:rPr>
          <w:rFonts w:ascii="Century Gothic" w:hAnsi="Century Gothic"/>
          <w:b/>
          <w:bCs/>
        </w:rPr>
        <w:t xml:space="preserve"> Zamawiający dopuszcza podanie ostatniej ceny.</w:t>
      </w:r>
    </w:p>
    <w:p w14:paraId="0FC019AD" w14:textId="77777777" w:rsidR="00E30819" w:rsidRPr="00FF3D93" w:rsidRDefault="00E30819" w:rsidP="00C2362B">
      <w:pPr>
        <w:spacing w:after="0" w:line="240" w:lineRule="auto"/>
        <w:jc w:val="both"/>
        <w:rPr>
          <w:rFonts w:ascii="Century Gothic" w:hAnsi="Century Gothic"/>
          <w:b/>
          <w:bCs/>
          <w:sz w:val="24"/>
          <w:szCs w:val="24"/>
        </w:rPr>
      </w:pPr>
    </w:p>
    <w:p w14:paraId="57A5BED7" w14:textId="59C22FC0" w:rsidR="00E60724" w:rsidRPr="00EE2289" w:rsidRDefault="00652D82" w:rsidP="00C2362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5. </w:t>
      </w:r>
      <w:r w:rsidR="00E60724" w:rsidRPr="00EE2289">
        <w:rPr>
          <w:rFonts w:ascii="Century Gothic" w:hAnsi="Century Gothic"/>
          <w:b/>
          <w:bCs/>
          <w:sz w:val="24"/>
          <w:szCs w:val="24"/>
        </w:rPr>
        <w:t xml:space="preserve">Pytanie 5 </w:t>
      </w:r>
      <w:r w:rsidR="00E60724" w:rsidRPr="00EE2289">
        <w:rPr>
          <w:rFonts w:ascii="Century Gothic" w:hAnsi="Century Gothic"/>
          <w:sz w:val="24"/>
          <w:szCs w:val="24"/>
        </w:rPr>
        <w:t>– Czy Zamawiający dopuści wycenę leku za opakowanie a nie za sztukę</w:t>
      </w:r>
      <w:r w:rsidR="00A0126D" w:rsidRPr="00EE2289">
        <w:rPr>
          <w:rFonts w:ascii="Century Gothic" w:hAnsi="Century Gothic"/>
          <w:sz w:val="24"/>
          <w:szCs w:val="24"/>
        </w:rPr>
        <w:t>/ kilogram</w:t>
      </w:r>
      <w:r w:rsidR="00E60724" w:rsidRPr="00EE2289">
        <w:rPr>
          <w:rFonts w:ascii="Century Gothic" w:hAnsi="Century Gothic"/>
          <w:sz w:val="24"/>
          <w:szCs w:val="24"/>
        </w:rPr>
        <w:t xml:space="preserve"> (Zgodnie z prawem Farmaceutycznym nie ma możliwości zakupu leku w innej formie niż dostępne na rynku opakowanie handlowe) w pozycjach gdzie w SWZ występują sztuki lub mg? </w:t>
      </w:r>
    </w:p>
    <w:p w14:paraId="0C971DE8" w14:textId="77777777" w:rsidR="00E60724" w:rsidRPr="002E045E" w:rsidRDefault="00E60724" w:rsidP="00C2362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EE2289">
        <w:rPr>
          <w:rFonts w:ascii="Century Gothic" w:hAnsi="Century Gothic"/>
          <w:sz w:val="24"/>
          <w:szCs w:val="24"/>
        </w:rPr>
        <w:t xml:space="preserve">Jeśli nie, to czy Zamawiający zgodzi się na podanie cen jednostkowych za sztukę, </w:t>
      </w:r>
      <w:r w:rsidRPr="002E045E">
        <w:rPr>
          <w:rFonts w:ascii="Century Gothic" w:hAnsi="Century Gothic"/>
          <w:sz w:val="24"/>
          <w:szCs w:val="24"/>
        </w:rPr>
        <w:t xml:space="preserve">mg, ml </w:t>
      </w:r>
      <w:proofErr w:type="spellStart"/>
      <w:r w:rsidRPr="002E045E">
        <w:rPr>
          <w:rFonts w:ascii="Century Gothic" w:hAnsi="Century Gothic"/>
          <w:sz w:val="24"/>
          <w:szCs w:val="24"/>
        </w:rPr>
        <w:t>etc</w:t>
      </w:r>
      <w:proofErr w:type="spellEnd"/>
      <w:r w:rsidRPr="002E045E">
        <w:rPr>
          <w:rFonts w:ascii="Century Gothic" w:hAnsi="Century Gothic"/>
          <w:sz w:val="24"/>
          <w:szCs w:val="24"/>
        </w:rPr>
        <w:t xml:space="preserve"> netto i brutto z dokładnością do 4 miejsc po przecinku?</w:t>
      </w:r>
    </w:p>
    <w:p w14:paraId="1C62F658" w14:textId="4148C882" w:rsidR="00E60724" w:rsidRPr="002E045E" w:rsidRDefault="00C2362B" w:rsidP="00C2362B">
      <w:pPr>
        <w:pStyle w:val="Default"/>
        <w:jc w:val="both"/>
        <w:rPr>
          <w:rFonts w:ascii="Century Gothic" w:hAnsi="Century Gothic"/>
        </w:rPr>
      </w:pPr>
      <w:r w:rsidRPr="00E159FD">
        <w:rPr>
          <w:rFonts w:ascii="Century Gothic" w:hAnsi="Century Gothic"/>
          <w:b/>
          <w:bCs/>
        </w:rPr>
        <w:t>Odpowiedź Zamawiającego:</w:t>
      </w:r>
      <w:r>
        <w:rPr>
          <w:rFonts w:ascii="Century Gothic" w:hAnsi="Century Gothic"/>
          <w:b/>
          <w:bCs/>
        </w:rPr>
        <w:t xml:space="preserve"> Zamawiający dopuszcza wycenę leku za opakowanie.</w:t>
      </w:r>
    </w:p>
    <w:p w14:paraId="1B915621" w14:textId="0F7C5685" w:rsidR="00A7378F" w:rsidRPr="00D26EE6" w:rsidRDefault="00652D82" w:rsidP="005A7D71">
      <w:p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6. </w:t>
      </w:r>
      <w:r w:rsidR="005A7D71" w:rsidRPr="00D26EE6">
        <w:rPr>
          <w:rFonts w:ascii="Century Gothic" w:hAnsi="Century Gothic"/>
          <w:b/>
          <w:bCs/>
          <w:sz w:val="24"/>
          <w:szCs w:val="24"/>
        </w:rPr>
        <w:t xml:space="preserve">Pytanie 6 </w:t>
      </w:r>
      <w:r w:rsidR="005A7D71" w:rsidRPr="00D26EE6">
        <w:rPr>
          <w:rFonts w:ascii="Century Gothic" w:hAnsi="Century Gothic"/>
          <w:sz w:val="24"/>
          <w:szCs w:val="24"/>
        </w:rPr>
        <w:t>– Czy Zamawiający dopuszcza wycenę preparatów dostępnych na jednorazowe zezwolenie MZ.? W sytuacji jeśli aktualnie tylko takie jest dostępne.</w:t>
      </w:r>
    </w:p>
    <w:p w14:paraId="31A1E065" w14:textId="0EB61D1D" w:rsidR="00BB2513" w:rsidRPr="00D26EE6" w:rsidRDefault="00C2362B" w:rsidP="005A7D71">
      <w:pPr>
        <w:spacing w:after="0" w:line="240" w:lineRule="auto"/>
        <w:rPr>
          <w:rFonts w:ascii="Century Gothic" w:hAnsi="Century Gothic"/>
          <w:b/>
          <w:bCs/>
          <w:sz w:val="24"/>
          <w:szCs w:val="24"/>
        </w:rPr>
      </w:pPr>
      <w:r w:rsidRPr="00D26EE6">
        <w:rPr>
          <w:rFonts w:ascii="Century Gothic" w:hAnsi="Century Gothic"/>
          <w:b/>
          <w:bCs/>
          <w:sz w:val="24"/>
          <w:szCs w:val="24"/>
        </w:rPr>
        <w:t>Odpowiedź Zamawiającego: Zamawiający dopuszcza wycenę preparatów dostępnych na jednorazowe zezwolenie MZ</w:t>
      </w:r>
    </w:p>
    <w:p w14:paraId="64FF92D3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</w:p>
    <w:p w14:paraId="3BB09453" w14:textId="2C6AAB9A" w:rsidR="002E045E" w:rsidRPr="002E045E" w:rsidRDefault="00652D82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>
        <w:rPr>
          <w:rFonts w:ascii="Century Gothic" w:hAnsi="Century Gothic" w:cs="Calibri"/>
          <w:b/>
          <w:bCs/>
          <w:color w:val="000000"/>
          <w:sz w:val="24"/>
          <w:szCs w:val="24"/>
        </w:rPr>
        <w:t xml:space="preserve">7. </w:t>
      </w:r>
      <w:r w:rsidR="002E045E" w:rsidRPr="002E045E">
        <w:rPr>
          <w:rFonts w:ascii="Century Gothic" w:hAnsi="Century Gothic" w:cs="Calibri"/>
          <w:b/>
          <w:bCs/>
          <w:color w:val="000000"/>
          <w:sz w:val="24"/>
          <w:szCs w:val="24"/>
        </w:rPr>
        <w:t xml:space="preserve">Pytanie – dotyczy pakiet 61 </w:t>
      </w:r>
    </w:p>
    <w:p w14:paraId="00370EAC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Czy Zamawiający wyrazi zgodę na zaoferowanie produktu w postaci sterylnego (sterylizacja radiacyjna), rozpuszczalnego w wodzie żelu, używanego do ułatwiania wprowadzana cewników oraz innych urządzeń medycznych podczas zabiegów dotyczących cewki moczowej jak np. cewnikowanie, endoskopia czy cystoskopia oraz do zabiegów odbytniczych i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okrężniczych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jako żel lubrykacyjny. </w:t>
      </w:r>
    </w:p>
    <w:p w14:paraId="5B3A79C8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100 g żelu zawiera: </w:t>
      </w:r>
    </w:p>
    <w:p w14:paraId="6D5EC852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Wodę destylowaną </w:t>
      </w:r>
    </w:p>
    <w:p w14:paraId="6837D1C5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Glikol propylenowy,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hydroksyetylocelulozę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</w:t>
      </w:r>
    </w:p>
    <w:p w14:paraId="407766A1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2g chlorowodorek lidokainy </w:t>
      </w:r>
    </w:p>
    <w:p w14:paraId="3FA91630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0.250g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glukonian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chloroheksydyny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(stężenie 20%) </w:t>
      </w:r>
    </w:p>
    <w:p w14:paraId="54C51843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0.060g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hydroksybenzoat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metylu </w:t>
      </w:r>
    </w:p>
    <w:p w14:paraId="2840A09A" w14:textId="77777777" w:rsidR="002E045E" w:rsidRPr="002E045E" w:rsidRDefault="002E045E" w:rsidP="002E045E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• 0.025g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hydroksybenzoat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propylu </w:t>
      </w:r>
    </w:p>
    <w:p w14:paraId="2AA5555B" w14:textId="77777777" w:rsidR="00652D82" w:rsidRDefault="002E045E" w:rsidP="00652D82">
      <w:pPr>
        <w:tabs>
          <w:tab w:val="left" w:pos="6525"/>
        </w:tabs>
        <w:spacing w:after="0" w:line="240" w:lineRule="auto"/>
        <w:rPr>
          <w:rFonts w:ascii="Century Gothic" w:hAnsi="Century Gothic" w:cs="Calibri"/>
          <w:color w:val="000000"/>
          <w:sz w:val="24"/>
          <w:szCs w:val="24"/>
        </w:rPr>
      </w:pPr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Produkt pakowany w </w:t>
      </w:r>
      <w:proofErr w:type="spellStart"/>
      <w:r w:rsidRPr="002E045E">
        <w:rPr>
          <w:rFonts w:ascii="Century Gothic" w:hAnsi="Century Gothic" w:cs="Calibri"/>
          <w:color w:val="000000"/>
          <w:sz w:val="24"/>
          <w:szCs w:val="24"/>
        </w:rPr>
        <w:t>bezlateksowych</w:t>
      </w:r>
      <w:proofErr w:type="spellEnd"/>
      <w:r w:rsidRPr="002E045E">
        <w:rPr>
          <w:rFonts w:ascii="Century Gothic" w:hAnsi="Century Gothic" w:cs="Calibri"/>
          <w:color w:val="000000"/>
          <w:sz w:val="24"/>
          <w:szCs w:val="24"/>
        </w:rPr>
        <w:t xml:space="preserve"> i wygodnych ampułkostrzykawkach z podziałką o pojemności 11ml (11g)?</w:t>
      </w:r>
    </w:p>
    <w:p w14:paraId="7B0E40B9" w14:textId="7E8E0D68" w:rsidR="00C2362B" w:rsidRPr="00C2362B" w:rsidRDefault="00C2362B" w:rsidP="00652D82">
      <w:pPr>
        <w:tabs>
          <w:tab w:val="left" w:pos="6525"/>
        </w:tabs>
        <w:spacing w:after="0" w:line="240" w:lineRule="auto"/>
        <w:rPr>
          <w:rFonts w:ascii="Century Gothic" w:hAnsi="Century Gothic" w:cs="Calibri"/>
          <w:b/>
          <w:bCs/>
          <w:color w:val="000000"/>
          <w:sz w:val="24"/>
          <w:szCs w:val="24"/>
        </w:rPr>
      </w:pPr>
      <w:r w:rsidRPr="00C2362B">
        <w:rPr>
          <w:rFonts w:ascii="Century Gothic" w:hAnsi="Century Gothic" w:cs="Calibri"/>
          <w:b/>
          <w:bCs/>
          <w:color w:val="000000"/>
          <w:sz w:val="24"/>
          <w:szCs w:val="24"/>
        </w:rPr>
        <w:t>Odpowiedź Zamawiającego: Zamawiający dopuszcza zaoferowany produkt.</w:t>
      </w:r>
    </w:p>
    <w:p w14:paraId="4CF1B4B8" w14:textId="77777777" w:rsidR="00652D82" w:rsidRDefault="00652D82" w:rsidP="00CA27D7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3D133BA" w14:textId="31937B00" w:rsidR="00CA27D7" w:rsidRPr="00C0653F" w:rsidRDefault="00652D82" w:rsidP="00CA27D7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  <w:r w:rsidRPr="00C0653F">
        <w:rPr>
          <w:rFonts w:ascii="Century Gothic" w:eastAsia="Times New Roman" w:hAnsi="Century Gothic" w:cs="Arial"/>
          <w:b/>
          <w:bCs/>
          <w:lang w:eastAsia="pl-PL"/>
        </w:rPr>
        <w:t xml:space="preserve">8. </w:t>
      </w:r>
      <w:r w:rsidR="00CA27D7" w:rsidRPr="00C0653F">
        <w:rPr>
          <w:rFonts w:ascii="Century Gothic" w:eastAsia="Times New Roman" w:hAnsi="Century Gothic" w:cs="Arial"/>
          <w:b/>
          <w:bCs/>
          <w:lang w:eastAsia="pl-PL"/>
        </w:rPr>
        <w:t>Pakiet nr 62 :</w:t>
      </w:r>
    </w:p>
    <w:p w14:paraId="7BBA2C7A" w14:textId="18CBC6A6" w:rsidR="00CA27D7" w:rsidRDefault="004A5FBF" w:rsidP="004A5FBF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C0653F">
        <w:rPr>
          <w:rFonts w:ascii="Century Gothic" w:eastAsia="Times New Roman" w:hAnsi="Century Gothic" w:cs="Arial"/>
          <w:lang w:eastAsia="pl-PL"/>
        </w:rPr>
        <w:t xml:space="preserve">- </w:t>
      </w:r>
      <w:r w:rsidR="00CA27D7" w:rsidRPr="00C0653F">
        <w:rPr>
          <w:rFonts w:ascii="Century Gothic" w:eastAsia="Times New Roman" w:hAnsi="Century Gothic" w:cs="Arial"/>
          <w:lang w:eastAsia="pl-PL"/>
        </w:rPr>
        <w:t>Z uwagi na to, iż niektóre parametry i właściwości medycznego wapna sodowanego do aparatów do znieczuleń mogą szkodliwie wpływać na pacjenta poprzez ryzyko rozpadu anestetyków i pojawienia się tlenku węgla („czadu”), prosimy Zamawiającego o doprecyzowanie, czy wapno sodowane ma być ze wskaźnikiem zużycia (zmieniające barwę z białej na fioletową), w postaci granulek, o parametrach: kruchość 95%, zawartość wilgoci wody 12-19%, absorpcja CO2 19%, współczynnik pochłaniania w przybliżeniu 140l/kg, łączna zawartość metali alkaicznych do 4%?</w:t>
      </w:r>
    </w:p>
    <w:p w14:paraId="5C909419" w14:textId="166CA4E8" w:rsidR="00C0653F" w:rsidRPr="00C0653F" w:rsidRDefault="00C0653F" w:rsidP="004A5FBF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  <w:r w:rsidRPr="00C0653F">
        <w:rPr>
          <w:rFonts w:ascii="Century Gothic" w:eastAsia="Times New Roman" w:hAnsi="Century Gothic" w:cs="Arial"/>
          <w:b/>
          <w:bCs/>
          <w:lang w:eastAsia="pl-PL"/>
        </w:rPr>
        <w:t>Odpowiedź Zamawiającego: Zamawiający dopuszcza.</w:t>
      </w:r>
    </w:p>
    <w:p w14:paraId="30493038" w14:textId="77777777" w:rsidR="00CA27D7" w:rsidRPr="00C0653F" w:rsidRDefault="00CA27D7" w:rsidP="00CA27D7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</w:p>
    <w:p w14:paraId="02CB9D67" w14:textId="60FF09A8" w:rsidR="00CA27D7" w:rsidRDefault="004A5FBF" w:rsidP="004A5FBF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C0653F">
        <w:rPr>
          <w:rFonts w:ascii="Century Gothic" w:eastAsia="Times New Roman" w:hAnsi="Century Gothic" w:cs="Arial"/>
          <w:lang w:eastAsia="pl-PL"/>
        </w:rPr>
        <w:lastRenderedPageBreak/>
        <w:t xml:space="preserve">- </w:t>
      </w:r>
      <w:r w:rsidR="00CA27D7" w:rsidRPr="00C0653F">
        <w:rPr>
          <w:rFonts w:ascii="Century Gothic" w:eastAsia="Times New Roman" w:hAnsi="Century Gothic" w:cs="Arial"/>
          <w:lang w:eastAsia="pl-PL"/>
        </w:rPr>
        <w:t xml:space="preserve">Czy Zamawiający wymaga medyczne wapno sodowane do użycia z anestetykami takimi jak: </w:t>
      </w:r>
      <w:proofErr w:type="spellStart"/>
      <w:r w:rsidR="00CA27D7" w:rsidRPr="00C0653F">
        <w:rPr>
          <w:rFonts w:ascii="Century Gothic" w:eastAsia="Times New Roman" w:hAnsi="Century Gothic" w:cs="Arial"/>
          <w:b/>
          <w:bCs/>
          <w:u w:val="single"/>
          <w:lang w:eastAsia="pl-PL"/>
        </w:rPr>
        <w:t>Izofluran</w:t>
      </w:r>
      <w:proofErr w:type="spellEnd"/>
      <w:r w:rsidR="00CA27D7" w:rsidRPr="00C0653F">
        <w:rPr>
          <w:rFonts w:ascii="Century Gothic" w:eastAsia="Times New Roman" w:hAnsi="Century Gothic" w:cs="Arial"/>
          <w:b/>
          <w:bCs/>
          <w:u w:val="single"/>
          <w:lang w:eastAsia="pl-PL"/>
        </w:rPr>
        <w:t xml:space="preserve">, </w:t>
      </w:r>
      <w:proofErr w:type="spellStart"/>
      <w:r w:rsidR="00CA27D7" w:rsidRPr="00C0653F">
        <w:rPr>
          <w:rFonts w:ascii="Century Gothic" w:eastAsia="Times New Roman" w:hAnsi="Century Gothic" w:cs="Arial"/>
          <w:b/>
          <w:bCs/>
          <w:u w:val="single"/>
          <w:lang w:eastAsia="pl-PL"/>
        </w:rPr>
        <w:t>Desfluran</w:t>
      </w:r>
      <w:proofErr w:type="spellEnd"/>
      <w:r w:rsidR="00CA27D7" w:rsidRPr="00C0653F">
        <w:rPr>
          <w:rFonts w:ascii="Century Gothic" w:eastAsia="Times New Roman" w:hAnsi="Century Gothic" w:cs="Arial"/>
          <w:b/>
          <w:bCs/>
          <w:u w:val="single"/>
          <w:lang w:eastAsia="pl-PL"/>
        </w:rPr>
        <w:t xml:space="preserve">, </w:t>
      </w:r>
      <w:proofErr w:type="spellStart"/>
      <w:r w:rsidR="00CA27D7" w:rsidRPr="00C0653F">
        <w:rPr>
          <w:rFonts w:ascii="Century Gothic" w:eastAsia="Times New Roman" w:hAnsi="Century Gothic" w:cs="Arial"/>
          <w:b/>
          <w:bCs/>
          <w:u w:val="single"/>
          <w:lang w:eastAsia="pl-PL"/>
        </w:rPr>
        <w:t>Sewofluran</w:t>
      </w:r>
      <w:proofErr w:type="spellEnd"/>
      <w:r w:rsidR="00CA27D7" w:rsidRPr="00C0653F">
        <w:rPr>
          <w:rFonts w:ascii="Century Gothic" w:eastAsia="Times New Roman" w:hAnsi="Century Gothic" w:cs="Arial"/>
          <w:lang w:eastAsia="pl-PL"/>
        </w:rPr>
        <w:t xml:space="preserve">, podtlenek azotu, </w:t>
      </w:r>
      <w:proofErr w:type="spellStart"/>
      <w:r w:rsidR="00CA27D7" w:rsidRPr="00C0653F">
        <w:rPr>
          <w:rFonts w:ascii="Century Gothic" w:eastAsia="Times New Roman" w:hAnsi="Century Gothic" w:cs="Arial"/>
          <w:lang w:eastAsia="pl-PL"/>
        </w:rPr>
        <w:t>Halotan</w:t>
      </w:r>
      <w:proofErr w:type="spellEnd"/>
      <w:r w:rsidR="00CA27D7" w:rsidRPr="00C0653F">
        <w:rPr>
          <w:rFonts w:ascii="Century Gothic" w:eastAsia="Times New Roman" w:hAnsi="Century Gothic" w:cs="Arial"/>
          <w:lang w:eastAsia="pl-PL"/>
        </w:rPr>
        <w:t xml:space="preserve">, </w:t>
      </w:r>
      <w:proofErr w:type="spellStart"/>
      <w:r w:rsidR="00CA27D7" w:rsidRPr="00C0653F">
        <w:rPr>
          <w:rFonts w:ascii="Century Gothic" w:eastAsia="Times New Roman" w:hAnsi="Century Gothic" w:cs="Arial"/>
          <w:lang w:eastAsia="pl-PL"/>
        </w:rPr>
        <w:t>Enfluran</w:t>
      </w:r>
      <w:proofErr w:type="spellEnd"/>
      <w:r w:rsidR="00CA27D7" w:rsidRPr="00C0653F">
        <w:rPr>
          <w:rFonts w:ascii="Century Gothic" w:eastAsia="Times New Roman" w:hAnsi="Century Gothic" w:cs="Arial"/>
          <w:lang w:eastAsia="pl-PL"/>
        </w:rPr>
        <w:t xml:space="preserve"> . z informacją potwierdzoną w instrukcji użycia.</w:t>
      </w:r>
    </w:p>
    <w:p w14:paraId="332266C5" w14:textId="6CF00E78" w:rsidR="00C0653F" w:rsidRPr="00C0653F" w:rsidRDefault="00C0653F" w:rsidP="004A5FBF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  <w:r w:rsidRPr="00C0653F">
        <w:rPr>
          <w:rFonts w:ascii="Century Gothic" w:eastAsia="Times New Roman" w:hAnsi="Century Gothic" w:cs="Arial"/>
          <w:b/>
          <w:bCs/>
          <w:lang w:eastAsia="pl-PL"/>
        </w:rPr>
        <w:t>Odpowiedź Zamawiającego: Zamawiający oczekuje ale nie wymaga.</w:t>
      </w:r>
    </w:p>
    <w:p w14:paraId="58622FB7" w14:textId="77777777" w:rsidR="00CA27D7" w:rsidRPr="00C0653F" w:rsidRDefault="00CA27D7" w:rsidP="00CA27D7">
      <w:pPr>
        <w:spacing w:after="160" w:line="259" w:lineRule="auto"/>
        <w:ind w:left="720"/>
        <w:contextualSpacing/>
        <w:rPr>
          <w:rFonts w:ascii="Century Gothic" w:eastAsia="Calibri" w:hAnsi="Century Gothic" w:cs="Arial"/>
          <w:lang w:eastAsia="pl-PL"/>
        </w:rPr>
      </w:pPr>
    </w:p>
    <w:p w14:paraId="49CD5B45" w14:textId="43E70C33" w:rsidR="00CA27D7" w:rsidRDefault="004A5FBF" w:rsidP="004A5FBF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C0653F">
        <w:rPr>
          <w:rFonts w:ascii="Century Gothic" w:eastAsia="Times New Roman" w:hAnsi="Century Gothic" w:cs="Arial"/>
          <w:lang w:eastAsia="pl-PL"/>
        </w:rPr>
        <w:t xml:space="preserve">- </w:t>
      </w:r>
      <w:r w:rsidR="00CA27D7" w:rsidRPr="00C0653F">
        <w:rPr>
          <w:rFonts w:ascii="Century Gothic" w:eastAsia="Times New Roman" w:hAnsi="Century Gothic" w:cs="Arial"/>
          <w:lang w:eastAsia="pl-PL"/>
        </w:rPr>
        <w:t>Czy Zamawiający wyrazi zgodę na dopuszczenie wapna o pojemności 5 litrów = 4,5 kg?</w:t>
      </w:r>
    </w:p>
    <w:p w14:paraId="11CBE5FC" w14:textId="3C60A818" w:rsidR="00C0653F" w:rsidRPr="00C0653F" w:rsidRDefault="00C0653F" w:rsidP="004A5FBF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  <w:r w:rsidRPr="00C0653F">
        <w:rPr>
          <w:rFonts w:ascii="Century Gothic" w:eastAsia="Times New Roman" w:hAnsi="Century Gothic" w:cs="Arial"/>
          <w:b/>
          <w:bCs/>
          <w:lang w:eastAsia="pl-PL"/>
        </w:rPr>
        <w:t>Odpowiedź Zamawiającego: Zamawiający dopuszcza</w:t>
      </w:r>
    </w:p>
    <w:p w14:paraId="66334419" w14:textId="77777777" w:rsidR="00CA27D7" w:rsidRPr="00C0653F" w:rsidRDefault="00CA27D7" w:rsidP="00CA27D7">
      <w:pPr>
        <w:spacing w:after="0" w:line="240" w:lineRule="auto"/>
        <w:rPr>
          <w:rFonts w:ascii="Century Gothic" w:eastAsia="Times New Roman" w:hAnsi="Century Gothic" w:cs="Arial"/>
          <w:b/>
          <w:bCs/>
          <w:lang w:eastAsia="pl-PL"/>
        </w:rPr>
      </w:pPr>
    </w:p>
    <w:p w14:paraId="11BD6A78" w14:textId="68316DAF" w:rsidR="004A5FBF" w:rsidRPr="00C0653F" w:rsidRDefault="00E55964" w:rsidP="00E5596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lang w:eastAsia="pl-PL"/>
        </w:rPr>
        <w:t xml:space="preserve">9. </w:t>
      </w:r>
      <w:r w:rsidR="00CA27D7" w:rsidRPr="00C0653F">
        <w:rPr>
          <w:rFonts w:ascii="Century Gothic" w:eastAsia="Times New Roman" w:hAnsi="Century Gothic" w:cs="Times New Roman"/>
          <w:lang w:eastAsia="pl-PL"/>
        </w:rPr>
        <w:t xml:space="preserve">pakiet 4  pozycja 12 </w:t>
      </w:r>
    </w:p>
    <w:p w14:paraId="0AE32579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lang w:eastAsia="pl-PL"/>
        </w:rPr>
        <w:t>Czy Zamawiający wyraża zgodę na złożenie oferty na potas w postaci kapsułek o przedłużonym uwalnianiu 315 mg jonów potasu (600 mg chlorku potasu) x 100 kapsułek?</w:t>
      </w:r>
    </w:p>
    <w:p w14:paraId="47213739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lang w:eastAsia="pl-PL"/>
        </w:rPr>
        <w:t xml:space="preserve">Lek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Kaldyum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ma postać kapsułek o przedłużonym uwalnianiu. </w:t>
      </w:r>
    </w:p>
    <w:p w14:paraId="60505C3F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lang w:eastAsia="pl-PL"/>
        </w:rPr>
        <w:t xml:space="preserve">Kapsułka zawiera mieszaninę jasnoniebieskich i białych lub prawie białych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peletek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zapewniających przedłużone uwalnianie chlorku potasu. </w:t>
      </w:r>
    </w:p>
    <w:p w14:paraId="05EFD53A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lang w:eastAsia="pl-PL"/>
        </w:rPr>
        <w:t xml:space="preserve">Po rozpadzie kapsułki,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peletki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ulegają rozproszeniu w treści pokarmowej i stopniowo uwalniają substancję czynną w trakcie przechodzenia przez przewód pokarmowy. </w:t>
      </w:r>
    </w:p>
    <w:p w14:paraId="5CD3BA9B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>Chroni to przed osiąganiem nadmiernie wysokiego miejscowego stężenia chlorku potasu i zmniejsza niepożądane działania na przewód pokarmowy.</w:t>
      </w:r>
    </w:p>
    <w:p w14:paraId="41AAB06A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Lek </w:t>
      </w:r>
      <w:proofErr w:type="spellStart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>Kaldyum</w:t>
      </w:r>
      <w:proofErr w:type="spellEnd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 może być podany pacjentom karmionym przez zgłębnik </w:t>
      </w:r>
      <w:r w:rsidRPr="00C0653F">
        <w:rPr>
          <w:rFonts w:ascii="Century Gothic" w:eastAsia="Times New Roman" w:hAnsi="Century Gothic" w:cs="Times New Roman"/>
          <w:lang w:eastAsia="pl-PL"/>
        </w:rPr>
        <w:t xml:space="preserve">ponieważ zgodnie z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ChPL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kapsułkę można otworzyć i wymieszać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peletki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z pokarmem lub płynem podawanym przez zgłębnik żołądkowy lub jelitowy.</w:t>
      </w:r>
    </w:p>
    <w:p w14:paraId="4C3E9FC2" w14:textId="77777777" w:rsidR="00CA27D7" w:rsidRPr="00C0653F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Lek </w:t>
      </w:r>
      <w:proofErr w:type="spellStart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>Kaldyum</w:t>
      </w:r>
      <w:proofErr w:type="spellEnd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 może być podany pacjentom z trudnościami w połykaniu</w:t>
      </w:r>
      <w:r w:rsidRPr="00C0653F">
        <w:rPr>
          <w:rFonts w:ascii="Century Gothic" w:eastAsia="Times New Roman" w:hAnsi="Century Gothic" w:cs="Times New Roman"/>
          <w:lang w:eastAsia="pl-PL"/>
        </w:rPr>
        <w:t xml:space="preserve">, ponieważ zgodnie z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ChPL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kapsułkę można otworzyć i wymieszać </w:t>
      </w:r>
      <w:proofErr w:type="spellStart"/>
      <w:r w:rsidRPr="00C0653F">
        <w:rPr>
          <w:rFonts w:ascii="Century Gothic" w:eastAsia="Times New Roman" w:hAnsi="Century Gothic" w:cs="Times New Roman"/>
          <w:lang w:eastAsia="pl-PL"/>
        </w:rPr>
        <w:t>peletki</w:t>
      </w:r>
      <w:proofErr w:type="spellEnd"/>
      <w:r w:rsidRPr="00C0653F">
        <w:rPr>
          <w:rFonts w:ascii="Century Gothic" w:eastAsia="Times New Roman" w:hAnsi="Century Gothic" w:cs="Times New Roman"/>
          <w:lang w:eastAsia="pl-PL"/>
        </w:rPr>
        <w:t xml:space="preserve"> z pokarmem lub płynem […].</w:t>
      </w:r>
    </w:p>
    <w:p w14:paraId="1983B9BC" w14:textId="631D72B0" w:rsidR="00CA27D7" w:rsidRDefault="00CA27D7" w:rsidP="00C0653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Lek </w:t>
      </w:r>
      <w:proofErr w:type="spellStart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>Kaldyum</w:t>
      </w:r>
      <w:proofErr w:type="spellEnd"/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 nie zawiera laktozy</w:t>
      </w:r>
      <w:r w:rsidRPr="00C0653F">
        <w:rPr>
          <w:rFonts w:ascii="Century Gothic" w:eastAsia="Times New Roman" w:hAnsi="Century Gothic" w:cs="Times New Roman"/>
          <w:lang w:eastAsia="pl-PL"/>
        </w:rPr>
        <w:t xml:space="preserve">, a więc przy jego stosowaniu zmniejszone jest ryzyko działań niepożądanych u pacjentów z nietolerancją laktozy. </w:t>
      </w:r>
    </w:p>
    <w:p w14:paraId="7BC5BF32" w14:textId="77777777" w:rsidR="00C0653F" w:rsidRPr="00C0653F" w:rsidRDefault="00C0653F" w:rsidP="00E5596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</w:p>
    <w:p w14:paraId="57B96C4D" w14:textId="311C90C7" w:rsidR="00E55964" w:rsidRPr="00C0653F" w:rsidRDefault="00E55964" w:rsidP="009F06C2">
      <w:pPr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>Odpowiedź Zamawiającego: Zamawiający nie wyraża zgod</w:t>
      </w:r>
      <w:r w:rsidR="00C0653F">
        <w:rPr>
          <w:rFonts w:ascii="Century Gothic" w:eastAsia="Times New Roman" w:hAnsi="Century Gothic" w:cs="Times New Roman"/>
          <w:b/>
          <w:bCs/>
          <w:lang w:eastAsia="pl-PL"/>
        </w:rPr>
        <w:t>y</w:t>
      </w: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 na złożenie oferty na potas w postaci kapsułek o przedłużonym uwalnianiu 315 mg jonów potasu</w:t>
      </w:r>
      <w:r w:rsidR="00C0653F">
        <w:rPr>
          <w:rFonts w:ascii="Century Gothic" w:eastAsia="Times New Roman" w:hAnsi="Century Gothic" w:cs="Times New Roman"/>
          <w:b/>
          <w:bCs/>
          <w:lang w:eastAsia="pl-PL"/>
        </w:rPr>
        <w:t>,</w:t>
      </w:r>
      <w:r w:rsidRPr="00C0653F">
        <w:rPr>
          <w:rFonts w:ascii="Century Gothic" w:eastAsia="Times New Roman" w:hAnsi="Century Gothic" w:cs="Times New Roman"/>
          <w:b/>
          <w:bCs/>
          <w:lang w:eastAsia="pl-PL"/>
        </w:rPr>
        <w:t xml:space="preserve"> (600 mg chlorku potasu) x 100 kapsułek.</w:t>
      </w:r>
    </w:p>
    <w:p w14:paraId="65890A11" w14:textId="3B196160" w:rsidR="009F06C2" w:rsidRPr="00C0653F" w:rsidRDefault="00CA27D7" w:rsidP="009F06C2">
      <w:pPr>
        <w:jc w:val="both"/>
        <w:rPr>
          <w:rFonts w:ascii="Century Gothic" w:eastAsia="Times New Roman" w:hAnsi="Century Gothic" w:cs="Calibri"/>
          <w:b/>
          <w:u w:val="single"/>
          <w:lang w:eastAsia="ar-SA"/>
        </w:rPr>
      </w:pPr>
      <w:r w:rsidRPr="00C0653F">
        <w:rPr>
          <w:rFonts w:ascii="Century Gothic" w:eastAsia="Times New Roman" w:hAnsi="Century Gothic" w:cs="Times New Roman"/>
          <w:lang w:eastAsia="pl-PL"/>
        </w:rPr>
        <w:t> </w:t>
      </w:r>
      <w:r w:rsidR="009F06C2" w:rsidRPr="00C0653F">
        <w:rPr>
          <w:rFonts w:ascii="Century Gothic" w:eastAsia="Times New Roman" w:hAnsi="Century Gothic" w:cs="Calibri"/>
          <w:b/>
          <w:u w:val="single"/>
          <w:lang w:eastAsia="ar-SA"/>
        </w:rPr>
        <w:t>Pakiet 61</w:t>
      </w:r>
    </w:p>
    <w:p w14:paraId="55542C21" w14:textId="7F7CAA4C" w:rsidR="009F06C2" w:rsidRPr="00C0653F" w:rsidRDefault="009F06C2" w:rsidP="009F06C2">
      <w:pPr>
        <w:suppressAutoHyphens/>
        <w:spacing w:after="0" w:line="240" w:lineRule="auto"/>
        <w:jc w:val="both"/>
        <w:rPr>
          <w:rFonts w:ascii="Century Gothic" w:eastAsia="Times New Roman" w:hAnsi="Century Gothic" w:cs="Calibri"/>
          <w:lang w:eastAsia="ar-SA"/>
        </w:rPr>
      </w:pPr>
      <w:r w:rsidRPr="00C0653F">
        <w:rPr>
          <w:rFonts w:ascii="Century Gothic" w:eastAsia="Times New Roman" w:hAnsi="Century Gothic" w:cs="Calibri"/>
          <w:lang w:eastAsia="ar-SA"/>
        </w:rPr>
        <w:t>Czy Zamawiający dopuści zaoferowanie w pakiecie 61 żelu znieczulającego o poj. 12 ml (12,36 g) w jałowych ampułkostrzykawkach?  Pozostałe parametry zgodnie z SWZ</w:t>
      </w:r>
    </w:p>
    <w:p w14:paraId="192DD4CB" w14:textId="153DCA26" w:rsidR="009F06C2" w:rsidRPr="00C0653F" w:rsidRDefault="00E55964" w:rsidP="009F06C2">
      <w:pPr>
        <w:suppressAutoHyphens/>
        <w:spacing w:after="0" w:line="240" w:lineRule="auto"/>
        <w:jc w:val="both"/>
        <w:rPr>
          <w:rFonts w:ascii="Century Gothic" w:eastAsia="Times New Roman" w:hAnsi="Century Gothic" w:cs="Calibri"/>
          <w:b/>
          <w:bCs/>
          <w:lang w:eastAsia="ar-SA"/>
        </w:rPr>
      </w:pPr>
      <w:r w:rsidRPr="00C0653F">
        <w:rPr>
          <w:rFonts w:ascii="Century Gothic" w:eastAsia="Times New Roman" w:hAnsi="Century Gothic" w:cs="Calibri"/>
          <w:b/>
          <w:bCs/>
          <w:lang w:eastAsia="ar-SA"/>
        </w:rPr>
        <w:t>Odpowiedź Zamawiającego: Zamawiający dopuszcza  zaoferowanie żelu znieczulającego o poj. 12 ml (12,36 g) w jałowych ampułkostrzykawkach.  Pozostałe parametry zgodnie z SWZ.</w:t>
      </w:r>
    </w:p>
    <w:p w14:paraId="6D79161E" w14:textId="0E492B51" w:rsidR="00CA27D7" w:rsidRPr="00C0653F" w:rsidRDefault="00CA27D7" w:rsidP="00CA27D7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lang w:eastAsia="pl-PL"/>
        </w:rPr>
      </w:pPr>
    </w:p>
    <w:p w14:paraId="6D51F8B9" w14:textId="77777777" w:rsidR="00F64615" w:rsidRDefault="00A0126D" w:rsidP="00F64615">
      <w:pPr>
        <w:tabs>
          <w:tab w:val="left" w:pos="6525"/>
        </w:tabs>
        <w:jc w:val="right"/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</w:pPr>
      <w:r w:rsidRPr="00C0653F"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  <w:tab/>
      </w:r>
      <w:r w:rsidR="00F64615"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  <w:t>……………………………</w:t>
      </w:r>
    </w:p>
    <w:p w14:paraId="0AA165BA" w14:textId="25CF4D58" w:rsidR="001F7368" w:rsidRPr="00C0653F" w:rsidRDefault="00F64615" w:rsidP="00F64615">
      <w:pPr>
        <w:tabs>
          <w:tab w:val="left" w:pos="6525"/>
        </w:tabs>
        <w:jc w:val="right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Zatwierdzam</w:t>
      </w:r>
      <w:r w:rsidR="00A0126D" w:rsidRPr="00C0653F"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  <w:tab/>
      </w:r>
    </w:p>
    <w:sectPr w:rsidR="001F7368" w:rsidRPr="00C0653F" w:rsidSect="00FF3D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078BC" w14:textId="77777777" w:rsidR="00767B88" w:rsidRDefault="00767B88" w:rsidP="00293D6E">
      <w:pPr>
        <w:spacing w:after="0" w:line="240" w:lineRule="auto"/>
      </w:pPr>
      <w:r>
        <w:separator/>
      </w:r>
    </w:p>
  </w:endnote>
  <w:endnote w:type="continuationSeparator" w:id="0">
    <w:p w14:paraId="280AC012" w14:textId="77777777" w:rsidR="00767B88" w:rsidRDefault="00767B88" w:rsidP="00293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87416" w14:textId="77777777" w:rsidR="002B6D6F" w:rsidRDefault="002B6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E8FC3" w14:textId="6E6F30A9" w:rsidR="00293D6E" w:rsidRDefault="00293D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90731" w14:textId="77777777" w:rsidR="002B6D6F" w:rsidRDefault="002B6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5029" w14:textId="77777777" w:rsidR="00767B88" w:rsidRDefault="00767B88" w:rsidP="00293D6E">
      <w:pPr>
        <w:spacing w:after="0" w:line="240" w:lineRule="auto"/>
      </w:pPr>
      <w:r>
        <w:separator/>
      </w:r>
    </w:p>
  </w:footnote>
  <w:footnote w:type="continuationSeparator" w:id="0">
    <w:p w14:paraId="56A4078D" w14:textId="77777777" w:rsidR="00767B88" w:rsidRDefault="00767B88" w:rsidP="00293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F7F26" w14:textId="77777777" w:rsidR="002B6D6F" w:rsidRDefault="002B6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82427" w14:textId="281C790C" w:rsidR="00293D6E" w:rsidRDefault="00293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4DF44" w14:textId="77777777" w:rsidR="002B6D6F" w:rsidRDefault="002B6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40C9"/>
    <w:multiLevelType w:val="hybridMultilevel"/>
    <w:tmpl w:val="29EC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794316"/>
    <w:multiLevelType w:val="hybridMultilevel"/>
    <w:tmpl w:val="975C0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D6E"/>
    <w:rsid w:val="00001DBB"/>
    <w:rsid w:val="00003397"/>
    <w:rsid w:val="00030B59"/>
    <w:rsid w:val="00040E3A"/>
    <w:rsid w:val="00045C66"/>
    <w:rsid w:val="000537A2"/>
    <w:rsid w:val="00060D6B"/>
    <w:rsid w:val="00060D8F"/>
    <w:rsid w:val="00070B2A"/>
    <w:rsid w:val="000744C0"/>
    <w:rsid w:val="000836A1"/>
    <w:rsid w:val="000941BA"/>
    <w:rsid w:val="000951FA"/>
    <w:rsid w:val="000A565E"/>
    <w:rsid w:val="000C6455"/>
    <w:rsid w:val="000D133E"/>
    <w:rsid w:val="000D20A3"/>
    <w:rsid w:val="000D4F03"/>
    <w:rsid w:val="000E4A18"/>
    <w:rsid w:val="000F041F"/>
    <w:rsid w:val="000F38C8"/>
    <w:rsid w:val="00101970"/>
    <w:rsid w:val="001033B2"/>
    <w:rsid w:val="00121565"/>
    <w:rsid w:val="00126914"/>
    <w:rsid w:val="00132976"/>
    <w:rsid w:val="001709F5"/>
    <w:rsid w:val="00181ACC"/>
    <w:rsid w:val="001B3FB8"/>
    <w:rsid w:val="001C2608"/>
    <w:rsid w:val="001D35A5"/>
    <w:rsid w:val="001D46D8"/>
    <w:rsid w:val="001E23AD"/>
    <w:rsid w:val="001F176C"/>
    <w:rsid w:val="00201185"/>
    <w:rsid w:val="002063E2"/>
    <w:rsid w:val="00211091"/>
    <w:rsid w:val="002509C8"/>
    <w:rsid w:val="002622CB"/>
    <w:rsid w:val="00282D67"/>
    <w:rsid w:val="00290161"/>
    <w:rsid w:val="00293D6E"/>
    <w:rsid w:val="00296346"/>
    <w:rsid w:val="002A7F18"/>
    <w:rsid w:val="002B6D6F"/>
    <w:rsid w:val="002D012E"/>
    <w:rsid w:val="002D0280"/>
    <w:rsid w:val="002D208E"/>
    <w:rsid w:val="002E045E"/>
    <w:rsid w:val="002E0A61"/>
    <w:rsid w:val="002E4ABC"/>
    <w:rsid w:val="002F179D"/>
    <w:rsid w:val="00306D09"/>
    <w:rsid w:val="00315C90"/>
    <w:rsid w:val="00320B3C"/>
    <w:rsid w:val="0033023D"/>
    <w:rsid w:val="0033412C"/>
    <w:rsid w:val="00341852"/>
    <w:rsid w:val="003524C8"/>
    <w:rsid w:val="00357278"/>
    <w:rsid w:val="00357B11"/>
    <w:rsid w:val="00357D8C"/>
    <w:rsid w:val="00361995"/>
    <w:rsid w:val="00381C69"/>
    <w:rsid w:val="00383CB3"/>
    <w:rsid w:val="003B1043"/>
    <w:rsid w:val="003C0AF4"/>
    <w:rsid w:val="003C7853"/>
    <w:rsid w:val="003D5E93"/>
    <w:rsid w:val="003E5442"/>
    <w:rsid w:val="003E5B4C"/>
    <w:rsid w:val="0040218C"/>
    <w:rsid w:val="00403D52"/>
    <w:rsid w:val="004411CA"/>
    <w:rsid w:val="004514EC"/>
    <w:rsid w:val="0045597A"/>
    <w:rsid w:val="00463BA7"/>
    <w:rsid w:val="00466E0B"/>
    <w:rsid w:val="00487DF6"/>
    <w:rsid w:val="004908CF"/>
    <w:rsid w:val="004A4CC7"/>
    <w:rsid w:val="004A5FBF"/>
    <w:rsid w:val="004C0098"/>
    <w:rsid w:val="004C3EFD"/>
    <w:rsid w:val="004D3F94"/>
    <w:rsid w:val="004F3EE6"/>
    <w:rsid w:val="00501AD4"/>
    <w:rsid w:val="005111F6"/>
    <w:rsid w:val="00516C2A"/>
    <w:rsid w:val="0054145B"/>
    <w:rsid w:val="00544AAB"/>
    <w:rsid w:val="0054626E"/>
    <w:rsid w:val="00550115"/>
    <w:rsid w:val="00550BE4"/>
    <w:rsid w:val="0056253F"/>
    <w:rsid w:val="0056564A"/>
    <w:rsid w:val="0059354C"/>
    <w:rsid w:val="005A1D50"/>
    <w:rsid w:val="005A7D71"/>
    <w:rsid w:val="005F1D9F"/>
    <w:rsid w:val="005F3AEE"/>
    <w:rsid w:val="00605AC5"/>
    <w:rsid w:val="00615A15"/>
    <w:rsid w:val="00623317"/>
    <w:rsid w:val="006244CF"/>
    <w:rsid w:val="0063124A"/>
    <w:rsid w:val="00645542"/>
    <w:rsid w:val="00652D82"/>
    <w:rsid w:val="0066119A"/>
    <w:rsid w:val="00663169"/>
    <w:rsid w:val="00674179"/>
    <w:rsid w:val="0068224E"/>
    <w:rsid w:val="00697022"/>
    <w:rsid w:val="00704397"/>
    <w:rsid w:val="00706973"/>
    <w:rsid w:val="00711DF3"/>
    <w:rsid w:val="00730638"/>
    <w:rsid w:val="00751AA7"/>
    <w:rsid w:val="00752AA4"/>
    <w:rsid w:val="00753114"/>
    <w:rsid w:val="00766401"/>
    <w:rsid w:val="00767B88"/>
    <w:rsid w:val="00771893"/>
    <w:rsid w:val="0077513C"/>
    <w:rsid w:val="0079084B"/>
    <w:rsid w:val="007908E9"/>
    <w:rsid w:val="0079106D"/>
    <w:rsid w:val="00792517"/>
    <w:rsid w:val="0079319B"/>
    <w:rsid w:val="00794163"/>
    <w:rsid w:val="007A5B9F"/>
    <w:rsid w:val="007B11B7"/>
    <w:rsid w:val="007B1D8A"/>
    <w:rsid w:val="007E0424"/>
    <w:rsid w:val="007F473F"/>
    <w:rsid w:val="008111F4"/>
    <w:rsid w:val="008112D1"/>
    <w:rsid w:val="00833380"/>
    <w:rsid w:val="008366A2"/>
    <w:rsid w:val="00844EC4"/>
    <w:rsid w:val="00846912"/>
    <w:rsid w:val="0084760E"/>
    <w:rsid w:val="0086799B"/>
    <w:rsid w:val="00882FD2"/>
    <w:rsid w:val="00885A61"/>
    <w:rsid w:val="008861B5"/>
    <w:rsid w:val="008A516C"/>
    <w:rsid w:val="008B1B02"/>
    <w:rsid w:val="008D153F"/>
    <w:rsid w:val="008D4926"/>
    <w:rsid w:val="008D54F3"/>
    <w:rsid w:val="008F5E2F"/>
    <w:rsid w:val="009018E0"/>
    <w:rsid w:val="00915B88"/>
    <w:rsid w:val="009279C0"/>
    <w:rsid w:val="00942B55"/>
    <w:rsid w:val="00943202"/>
    <w:rsid w:val="00971121"/>
    <w:rsid w:val="00974311"/>
    <w:rsid w:val="00977FA4"/>
    <w:rsid w:val="009A0C1D"/>
    <w:rsid w:val="009B5C41"/>
    <w:rsid w:val="009C1802"/>
    <w:rsid w:val="009C5251"/>
    <w:rsid w:val="009C6900"/>
    <w:rsid w:val="009E3684"/>
    <w:rsid w:val="009E5C44"/>
    <w:rsid w:val="009E6698"/>
    <w:rsid w:val="009F06C2"/>
    <w:rsid w:val="00A0126D"/>
    <w:rsid w:val="00A558E3"/>
    <w:rsid w:val="00A7378F"/>
    <w:rsid w:val="00A9265E"/>
    <w:rsid w:val="00A97C3C"/>
    <w:rsid w:val="00AC0345"/>
    <w:rsid w:val="00AC6341"/>
    <w:rsid w:val="00AC7DD3"/>
    <w:rsid w:val="00AD3BC7"/>
    <w:rsid w:val="00AE5EBD"/>
    <w:rsid w:val="00B00446"/>
    <w:rsid w:val="00B0198D"/>
    <w:rsid w:val="00B03AC9"/>
    <w:rsid w:val="00B0595D"/>
    <w:rsid w:val="00B11D1D"/>
    <w:rsid w:val="00B22706"/>
    <w:rsid w:val="00B27138"/>
    <w:rsid w:val="00B410D5"/>
    <w:rsid w:val="00B55A5C"/>
    <w:rsid w:val="00B61F7E"/>
    <w:rsid w:val="00B62CEA"/>
    <w:rsid w:val="00B71B82"/>
    <w:rsid w:val="00B72E1D"/>
    <w:rsid w:val="00B7490E"/>
    <w:rsid w:val="00B924A8"/>
    <w:rsid w:val="00B93E24"/>
    <w:rsid w:val="00B977D5"/>
    <w:rsid w:val="00BA3438"/>
    <w:rsid w:val="00BA6442"/>
    <w:rsid w:val="00BA662D"/>
    <w:rsid w:val="00BA715B"/>
    <w:rsid w:val="00BA77B0"/>
    <w:rsid w:val="00BB2513"/>
    <w:rsid w:val="00BC554F"/>
    <w:rsid w:val="00BD27F0"/>
    <w:rsid w:val="00BF0061"/>
    <w:rsid w:val="00C02E70"/>
    <w:rsid w:val="00C031A6"/>
    <w:rsid w:val="00C0653F"/>
    <w:rsid w:val="00C1164E"/>
    <w:rsid w:val="00C15402"/>
    <w:rsid w:val="00C2362B"/>
    <w:rsid w:val="00C23B88"/>
    <w:rsid w:val="00C35E63"/>
    <w:rsid w:val="00C57031"/>
    <w:rsid w:val="00C71602"/>
    <w:rsid w:val="00C73470"/>
    <w:rsid w:val="00C7740C"/>
    <w:rsid w:val="00C82E48"/>
    <w:rsid w:val="00C91550"/>
    <w:rsid w:val="00C92D73"/>
    <w:rsid w:val="00CA27D7"/>
    <w:rsid w:val="00CB3074"/>
    <w:rsid w:val="00CB35BF"/>
    <w:rsid w:val="00CD6BD4"/>
    <w:rsid w:val="00CE3FBC"/>
    <w:rsid w:val="00CE724D"/>
    <w:rsid w:val="00D1333F"/>
    <w:rsid w:val="00D2114D"/>
    <w:rsid w:val="00D24A54"/>
    <w:rsid w:val="00D24ED5"/>
    <w:rsid w:val="00D26EE6"/>
    <w:rsid w:val="00D4516B"/>
    <w:rsid w:val="00D55759"/>
    <w:rsid w:val="00D579B3"/>
    <w:rsid w:val="00D71178"/>
    <w:rsid w:val="00D77033"/>
    <w:rsid w:val="00D84A88"/>
    <w:rsid w:val="00D968FB"/>
    <w:rsid w:val="00DB715E"/>
    <w:rsid w:val="00DC0586"/>
    <w:rsid w:val="00DC72A3"/>
    <w:rsid w:val="00DD4955"/>
    <w:rsid w:val="00DF4892"/>
    <w:rsid w:val="00E01EC6"/>
    <w:rsid w:val="00E02240"/>
    <w:rsid w:val="00E02C71"/>
    <w:rsid w:val="00E159FD"/>
    <w:rsid w:val="00E205E9"/>
    <w:rsid w:val="00E30819"/>
    <w:rsid w:val="00E55964"/>
    <w:rsid w:val="00E60724"/>
    <w:rsid w:val="00E61307"/>
    <w:rsid w:val="00E73B0B"/>
    <w:rsid w:val="00E80942"/>
    <w:rsid w:val="00E87CAE"/>
    <w:rsid w:val="00EA0CC3"/>
    <w:rsid w:val="00EB2A80"/>
    <w:rsid w:val="00EB4FF9"/>
    <w:rsid w:val="00EC63FF"/>
    <w:rsid w:val="00EE2289"/>
    <w:rsid w:val="00EF1B10"/>
    <w:rsid w:val="00F0616B"/>
    <w:rsid w:val="00F42208"/>
    <w:rsid w:val="00F600DC"/>
    <w:rsid w:val="00F64615"/>
    <w:rsid w:val="00F83BF1"/>
    <w:rsid w:val="00F85996"/>
    <w:rsid w:val="00FA149D"/>
    <w:rsid w:val="00FB0AE0"/>
    <w:rsid w:val="00FC030D"/>
    <w:rsid w:val="00FC6532"/>
    <w:rsid w:val="00FD3785"/>
    <w:rsid w:val="00FE36B3"/>
    <w:rsid w:val="00FE3C13"/>
    <w:rsid w:val="00FE6ED4"/>
    <w:rsid w:val="00FF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479E83"/>
  <w15:docId w15:val="{E041A672-E6F1-47B0-ABD4-CCE5F413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3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3D6E"/>
  </w:style>
  <w:style w:type="paragraph" w:styleId="Stopka">
    <w:name w:val="footer"/>
    <w:basedOn w:val="Normalny"/>
    <w:link w:val="StopkaZnak"/>
    <w:uiPriority w:val="99"/>
    <w:unhideWhenUsed/>
    <w:rsid w:val="00293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3D6E"/>
  </w:style>
  <w:style w:type="paragraph" w:styleId="Tekstdymka">
    <w:name w:val="Balloon Text"/>
    <w:basedOn w:val="Normalny"/>
    <w:link w:val="TekstdymkaZnak"/>
    <w:uiPriority w:val="99"/>
    <w:semiHidden/>
    <w:unhideWhenUsed/>
    <w:rsid w:val="00293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D6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9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F179D"/>
    <w:pPr>
      <w:spacing w:after="0" w:line="240" w:lineRule="auto"/>
      <w:jc w:val="both"/>
    </w:pPr>
    <w:rPr>
      <w:rFonts w:ascii="Tahoma" w:eastAsia="Times New Roman" w:hAnsi="Tahoma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F179D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2F17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2E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2E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2E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1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B1E46-F60A-49C0-9085-DE7C9220B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1020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FARMACOL</Company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Milczarska</dc:creator>
  <cp:lastModifiedBy>Maria Stróżyk</cp:lastModifiedBy>
  <cp:revision>23</cp:revision>
  <cp:lastPrinted>2021-09-07T05:27:00Z</cp:lastPrinted>
  <dcterms:created xsi:type="dcterms:W3CDTF">2021-08-30T08:54:00Z</dcterms:created>
  <dcterms:modified xsi:type="dcterms:W3CDTF">2021-09-07T05:27:00Z</dcterms:modified>
</cp:coreProperties>
</file>