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630AF" w14:textId="77777777" w:rsidR="00E824EB" w:rsidRDefault="00E824EB" w:rsidP="00B53010">
      <w:pPr>
        <w:rPr>
          <w:b/>
          <w:sz w:val="24"/>
          <w:szCs w:val="24"/>
        </w:rPr>
      </w:pPr>
    </w:p>
    <w:p w14:paraId="25D66DD6" w14:textId="322AEACC" w:rsidR="00E824EB" w:rsidRDefault="006552BB" w:rsidP="006552BB">
      <w:pPr>
        <w:rPr>
          <w:b/>
          <w:sz w:val="24"/>
          <w:szCs w:val="24"/>
        </w:rPr>
      </w:pPr>
      <w:r>
        <w:rPr>
          <w:b/>
          <w:sz w:val="24"/>
          <w:szCs w:val="24"/>
        </w:rPr>
        <w:tab/>
      </w:r>
      <w:r>
        <w:rPr>
          <w:b/>
          <w:sz w:val="24"/>
          <w:szCs w:val="24"/>
        </w:rPr>
        <w:tab/>
      </w:r>
      <w:r>
        <w:rPr>
          <w:b/>
          <w:sz w:val="24"/>
          <w:szCs w:val="24"/>
        </w:rPr>
        <w:tab/>
      </w:r>
      <w:r>
        <w:rPr>
          <w:b/>
          <w:sz w:val="24"/>
          <w:szCs w:val="24"/>
        </w:rPr>
        <w:tab/>
      </w:r>
    </w:p>
    <w:p w14:paraId="337E5C6B" w14:textId="1A010990" w:rsidR="006552BB" w:rsidRPr="006552BB" w:rsidRDefault="006552BB" w:rsidP="006552BB">
      <w:pPr>
        <w:rPr>
          <w:b/>
          <w:sz w:val="28"/>
          <w:szCs w:val="28"/>
        </w:rPr>
      </w:pPr>
      <w:r>
        <w:rPr>
          <w:b/>
          <w:sz w:val="24"/>
          <w:szCs w:val="24"/>
        </w:rPr>
        <w:tab/>
      </w:r>
      <w:r>
        <w:rPr>
          <w:b/>
          <w:sz w:val="24"/>
          <w:szCs w:val="24"/>
        </w:rPr>
        <w:tab/>
      </w:r>
      <w:r>
        <w:rPr>
          <w:b/>
          <w:sz w:val="24"/>
          <w:szCs w:val="24"/>
        </w:rPr>
        <w:tab/>
      </w:r>
      <w:r>
        <w:rPr>
          <w:b/>
          <w:sz w:val="24"/>
          <w:szCs w:val="24"/>
        </w:rPr>
        <w:tab/>
        <w:t xml:space="preserve">           </w:t>
      </w:r>
    </w:p>
    <w:p w14:paraId="2E40706D" w14:textId="77777777" w:rsidR="002E71AC" w:rsidRDefault="00B01D77" w:rsidP="00AC1939">
      <w:pPr>
        <w:jc w:val="center"/>
        <w:rPr>
          <w:b/>
          <w:sz w:val="24"/>
          <w:szCs w:val="24"/>
        </w:rPr>
      </w:pPr>
      <w:r>
        <w:rPr>
          <w:noProof/>
          <w:lang w:eastAsia="pl-PL"/>
        </w:rPr>
        <w:pict w14:anchorId="3F773880">
          <v:rect id="Rectangle 5" o:spid="_x0000_s1026" style="position:absolute;left:0;text-align:left;margin-left:-1.95pt;margin-top:21.85pt;width:483.75pt;height:48.7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" fillcolor="#dce6f2">
            <v:fill color2="#95b3d7" rotate="t" focus="100%" type="gradient"/>
          </v:rect>
        </w:pict>
      </w:r>
    </w:p>
    <w:p w14:paraId="7925DC96" w14:textId="77777777" w:rsidR="00AC1939" w:rsidRPr="00D427DE" w:rsidRDefault="00AC1939" w:rsidP="00AC1939">
      <w:pPr>
        <w:jc w:val="center"/>
        <w:rPr>
          <w:b/>
          <w:sz w:val="24"/>
          <w:szCs w:val="24"/>
        </w:rPr>
      </w:pPr>
      <w:r w:rsidRPr="00D427DE">
        <w:rPr>
          <w:b/>
          <w:sz w:val="24"/>
          <w:szCs w:val="24"/>
        </w:rPr>
        <w:t xml:space="preserve">RAPORT O SYTUACJI EKONOMICZNO-FINANSOWEJ </w:t>
      </w:r>
      <w:r>
        <w:rPr>
          <w:b/>
          <w:sz w:val="24"/>
          <w:szCs w:val="24"/>
        </w:rPr>
        <w:t xml:space="preserve">SAMODZIELNEGO PUBLICZNEGO </w:t>
      </w:r>
      <w:r w:rsidRPr="00D427DE">
        <w:rPr>
          <w:b/>
          <w:sz w:val="24"/>
          <w:szCs w:val="24"/>
        </w:rPr>
        <w:t xml:space="preserve">ZAKŁADU OPIEKI ZDROWOTNEJ  </w:t>
      </w:r>
    </w:p>
    <w:p w14:paraId="3C8C6246" w14:textId="77777777" w:rsidR="002E71AC" w:rsidRDefault="002E71AC" w:rsidP="00A53D39">
      <w:pPr>
        <w:pStyle w:val="Nagwek4"/>
        <w:ind w:left="2127" w:hanging="2127"/>
        <w:jc w:val="both"/>
        <w:rPr>
          <w:rFonts w:asciiTheme="minorHAnsi" w:hAnsiTheme="minorHAnsi"/>
        </w:rPr>
      </w:pPr>
    </w:p>
    <w:p w14:paraId="70A2F3F7" w14:textId="77777777" w:rsidR="00A53D39" w:rsidRPr="00F52EAA" w:rsidRDefault="00A53D39" w:rsidP="00A53D39">
      <w:pPr>
        <w:pStyle w:val="Nagwek4"/>
        <w:ind w:left="2127" w:hanging="2127"/>
        <w:jc w:val="both"/>
        <w:rPr>
          <w:rFonts w:asciiTheme="minorHAnsi" w:hAnsiTheme="minorHAnsi"/>
          <w:b w:val="0"/>
        </w:rPr>
      </w:pPr>
      <w:r w:rsidRPr="00F52EAA">
        <w:rPr>
          <w:rFonts w:asciiTheme="minorHAnsi" w:hAnsiTheme="minorHAnsi"/>
        </w:rPr>
        <w:t>Podstawa prawna:</w:t>
      </w:r>
      <w:r w:rsidRPr="00F52EAA">
        <w:rPr>
          <w:rFonts w:asciiTheme="minorHAnsi" w:hAnsiTheme="minorHAnsi"/>
          <w:b w:val="0"/>
        </w:rPr>
        <w:tab/>
        <w:t xml:space="preserve">art.53a ustawy z dnia 15 kwietnia 2011r. o działalności leczniczej                         (Dz.U.2016.0.1638 </w:t>
      </w:r>
      <w:proofErr w:type="spellStart"/>
      <w:r w:rsidRPr="00F52EAA">
        <w:rPr>
          <w:rFonts w:asciiTheme="minorHAnsi" w:hAnsiTheme="minorHAnsi"/>
          <w:b w:val="0"/>
        </w:rPr>
        <w:t>t.j</w:t>
      </w:r>
      <w:proofErr w:type="spellEnd"/>
      <w:r w:rsidRPr="00F52EAA">
        <w:rPr>
          <w:rFonts w:asciiTheme="minorHAnsi" w:hAnsiTheme="minorHAnsi"/>
          <w:b w:val="0"/>
        </w:rPr>
        <w:t>)</w:t>
      </w:r>
    </w:p>
    <w:p w14:paraId="36763115" w14:textId="77777777" w:rsidR="001853D3" w:rsidRPr="00F52EAA" w:rsidRDefault="001853D3" w:rsidP="005F546E">
      <w:pPr>
        <w:spacing w:after="0" w:line="240" w:lineRule="auto"/>
        <w:rPr>
          <w:b/>
          <w:sz w:val="24"/>
          <w:szCs w:val="24"/>
        </w:rPr>
      </w:pPr>
    </w:p>
    <w:p w14:paraId="6F45D143" w14:textId="77777777" w:rsidR="00FA3BF0" w:rsidRPr="00F52EAA" w:rsidRDefault="004D507A" w:rsidP="005F546E">
      <w:pPr>
        <w:spacing w:after="0" w:line="240" w:lineRule="auto"/>
        <w:rPr>
          <w:b/>
          <w:sz w:val="24"/>
          <w:szCs w:val="24"/>
          <w:u w:val="single"/>
        </w:rPr>
      </w:pPr>
      <w:r w:rsidRPr="00F52EAA">
        <w:rPr>
          <w:b/>
          <w:sz w:val="24"/>
          <w:szCs w:val="24"/>
          <w:u w:val="single"/>
        </w:rPr>
        <w:t>I</w:t>
      </w:r>
      <w:r w:rsidR="00FA3BF0" w:rsidRPr="00F52EAA">
        <w:rPr>
          <w:b/>
          <w:sz w:val="24"/>
          <w:szCs w:val="24"/>
          <w:u w:val="single"/>
        </w:rPr>
        <w:t>. Wybrane informacje o samodzielnym publi</w:t>
      </w:r>
      <w:r w:rsidR="005F546E" w:rsidRPr="00F52EAA">
        <w:rPr>
          <w:b/>
          <w:sz w:val="24"/>
          <w:szCs w:val="24"/>
          <w:u w:val="single"/>
        </w:rPr>
        <w:t>c</w:t>
      </w:r>
      <w:r w:rsidR="00FA3BF0" w:rsidRPr="00F52EAA">
        <w:rPr>
          <w:b/>
          <w:sz w:val="24"/>
          <w:szCs w:val="24"/>
          <w:u w:val="single"/>
        </w:rPr>
        <w:t xml:space="preserve">znym zakładzie </w:t>
      </w:r>
      <w:r w:rsidR="005F546E" w:rsidRPr="00F52EAA">
        <w:rPr>
          <w:b/>
          <w:sz w:val="24"/>
          <w:szCs w:val="24"/>
          <w:u w:val="single"/>
        </w:rPr>
        <w:t>opieki zdrowotnej</w:t>
      </w:r>
      <w:r w:rsidR="00A44FF8" w:rsidRPr="00F52EAA">
        <w:rPr>
          <w:b/>
          <w:sz w:val="24"/>
          <w:szCs w:val="24"/>
          <w:u w:val="single"/>
        </w:rPr>
        <w:t>.</w:t>
      </w:r>
    </w:p>
    <w:p w14:paraId="6479E0FD" w14:textId="77777777" w:rsidR="00A44FF8" w:rsidRPr="00F52EAA" w:rsidRDefault="00A44FF8" w:rsidP="005F546E">
      <w:pPr>
        <w:spacing w:after="0" w:line="240" w:lineRule="auto"/>
        <w:rPr>
          <w:b/>
          <w:sz w:val="24"/>
          <w:szCs w:val="24"/>
        </w:rPr>
      </w:pPr>
    </w:p>
    <w:p w14:paraId="32B9283F" w14:textId="77777777" w:rsidR="00E50123" w:rsidRPr="00F52EAA" w:rsidRDefault="00E50123" w:rsidP="005F546E">
      <w:pPr>
        <w:spacing w:after="0" w:line="240" w:lineRule="auto"/>
        <w:rPr>
          <w:b/>
          <w:sz w:val="24"/>
          <w:szCs w:val="24"/>
        </w:rPr>
      </w:pPr>
    </w:p>
    <w:p w14:paraId="0449C6AB" w14:textId="77777777" w:rsidR="00A44FF8" w:rsidRPr="00F52EAA" w:rsidRDefault="005F546E" w:rsidP="00A44FF8">
      <w:pPr>
        <w:spacing w:after="0" w:line="360" w:lineRule="auto"/>
        <w:rPr>
          <w:sz w:val="24"/>
          <w:szCs w:val="24"/>
        </w:rPr>
      </w:pPr>
      <w:r w:rsidRPr="00F52EAA">
        <w:rPr>
          <w:sz w:val="24"/>
          <w:szCs w:val="24"/>
        </w:rPr>
        <w:t xml:space="preserve">1. </w:t>
      </w:r>
      <w:r w:rsidR="00FE2867">
        <w:rPr>
          <w:sz w:val="24"/>
          <w:szCs w:val="24"/>
        </w:rPr>
        <w:t>Firma:                       Samodzielny Publiczny Zakład Opieki Zdrowotnej</w:t>
      </w:r>
    </w:p>
    <w:p w14:paraId="1D573011" w14:textId="77777777" w:rsidR="00A44FF8" w:rsidRPr="00F52EAA" w:rsidRDefault="00A44FF8" w:rsidP="00A44FF8">
      <w:pPr>
        <w:spacing w:after="0" w:line="360" w:lineRule="auto"/>
        <w:rPr>
          <w:sz w:val="24"/>
          <w:szCs w:val="24"/>
        </w:rPr>
      </w:pPr>
      <w:r w:rsidRPr="00F52EAA">
        <w:rPr>
          <w:sz w:val="24"/>
          <w:szCs w:val="24"/>
        </w:rPr>
        <w:t>2. Siedzi</w:t>
      </w:r>
      <w:r w:rsidR="00FE2867">
        <w:rPr>
          <w:sz w:val="24"/>
          <w:szCs w:val="24"/>
        </w:rPr>
        <w:t>ba:</w:t>
      </w:r>
      <w:r w:rsidR="00B53010">
        <w:rPr>
          <w:sz w:val="24"/>
          <w:szCs w:val="24"/>
        </w:rPr>
        <w:t xml:space="preserve">                  </w:t>
      </w:r>
      <w:r w:rsidR="00FE2867">
        <w:rPr>
          <w:sz w:val="24"/>
          <w:szCs w:val="24"/>
        </w:rPr>
        <w:t>Szamotuły</w:t>
      </w:r>
    </w:p>
    <w:p w14:paraId="34DBBA84" w14:textId="77777777" w:rsidR="00A44FF8" w:rsidRPr="00F52EAA" w:rsidRDefault="004D4FDF" w:rsidP="00A44FF8">
      <w:pPr>
        <w:spacing w:after="0" w:line="360" w:lineRule="auto"/>
        <w:rPr>
          <w:sz w:val="24"/>
          <w:szCs w:val="24"/>
        </w:rPr>
      </w:pPr>
      <w:r>
        <w:rPr>
          <w:sz w:val="24"/>
          <w:szCs w:val="24"/>
        </w:rPr>
        <w:t xml:space="preserve">3. Adres:                      </w:t>
      </w:r>
      <w:r w:rsidR="00FE2867">
        <w:rPr>
          <w:sz w:val="24"/>
          <w:szCs w:val="24"/>
        </w:rPr>
        <w:t xml:space="preserve"> 64-500 Szamotuły ul. Sukiennicza 13</w:t>
      </w:r>
    </w:p>
    <w:p w14:paraId="6C8F3896" w14:textId="77777777" w:rsidR="00FE2867" w:rsidRDefault="00A44FF8" w:rsidP="00A44FF8">
      <w:pPr>
        <w:spacing w:after="0" w:line="360" w:lineRule="auto"/>
        <w:rPr>
          <w:sz w:val="24"/>
          <w:szCs w:val="24"/>
        </w:rPr>
      </w:pPr>
      <w:r w:rsidRPr="00F52EAA">
        <w:rPr>
          <w:sz w:val="24"/>
          <w:szCs w:val="24"/>
        </w:rPr>
        <w:t>4. Numer  telefonu, faksu  oraz adres po</w:t>
      </w:r>
      <w:r w:rsidR="00FE2867">
        <w:rPr>
          <w:sz w:val="24"/>
          <w:szCs w:val="24"/>
        </w:rPr>
        <w:t xml:space="preserve">czty elektronicznej: </w:t>
      </w:r>
    </w:p>
    <w:p w14:paraId="4D7ABC24" w14:textId="77777777" w:rsidR="00A44FF8" w:rsidRPr="00F52EAA" w:rsidRDefault="002E71AC" w:rsidP="00A44FF8">
      <w:pPr>
        <w:spacing w:after="0" w:line="360" w:lineRule="auto"/>
        <w:rPr>
          <w:sz w:val="24"/>
          <w:szCs w:val="24"/>
        </w:rPr>
      </w:pPr>
      <w:r>
        <w:rPr>
          <w:sz w:val="24"/>
          <w:szCs w:val="24"/>
        </w:rPr>
        <w:t xml:space="preserve">    </w:t>
      </w:r>
      <w:r w:rsidR="00FE2867">
        <w:rPr>
          <w:sz w:val="24"/>
          <w:szCs w:val="24"/>
        </w:rPr>
        <w:t>tel. 61 29 27100, fax</w:t>
      </w:r>
      <w:r w:rsidR="00802A08">
        <w:rPr>
          <w:sz w:val="24"/>
          <w:szCs w:val="24"/>
        </w:rPr>
        <w:t xml:space="preserve"> </w:t>
      </w:r>
      <w:r w:rsidR="00FE2867">
        <w:rPr>
          <w:sz w:val="24"/>
          <w:szCs w:val="24"/>
        </w:rPr>
        <w:t xml:space="preserve"> 61 29 27102 adres poczty elektronicznej: sekretariat@szamotuly.med.pl</w:t>
      </w:r>
    </w:p>
    <w:p w14:paraId="78908F69" w14:textId="77777777" w:rsidR="00A44FF8" w:rsidRPr="00F52EAA" w:rsidRDefault="00A44FF8" w:rsidP="00A44FF8">
      <w:pPr>
        <w:spacing w:after="0" w:line="360" w:lineRule="auto"/>
        <w:rPr>
          <w:sz w:val="24"/>
          <w:szCs w:val="24"/>
        </w:rPr>
      </w:pPr>
      <w:r w:rsidRPr="00F52EAA">
        <w:rPr>
          <w:sz w:val="24"/>
          <w:szCs w:val="24"/>
        </w:rPr>
        <w:t>5. Numer identyfikacyjny REGO</w:t>
      </w:r>
      <w:r w:rsidR="00FE2867">
        <w:rPr>
          <w:sz w:val="24"/>
          <w:szCs w:val="24"/>
        </w:rPr>
        <w:t xml:space="preserve">N: </w:t>
      </w:r>
      <w:r w:rsidR="00BE5CE9">
        <w:rPr>
          <w:sz w:val="24"/>
          <w:szCs w:val="24"/>
        </w:rPr>
        <w:t xml:space="preserve">   000553822</w:t>
      </w:r>
    </w:p>
    <w:p w14:paraId="5CDAA348" w14:textId="77777777" w:rsidR="00A44FF8" w:rsidRDefault="00A44FF8" w:rsidP="00A44FF8">
      <w:pPr>
        <w:spacing w:after="0" w:line="360" w:lineRule="auto"/>
        <w:rPr>
          <w:sz w:val="24"/>
          <w:szCs w:val="24"/>
        </w:rPr>
      </w:pPr>
      <w:r w:rsidRPr="00F52EAA">
        <w:rPr>
          <w:sz w:val="24"/>
          <w:szCs w:val="24"/>
        </w:rPr>
        <w:t>6. Numer w Krajowym Re</w:t>
      </w:r>
      <w:r w:rsidR="00BE5CE9">
        <w:rPr>
          <w:sz w:val="24"/>
          <w:szCs w:val="24"/>
        </w:rPr>
        <w:t>jestrze Sądowym: 0000002598</w:t>
      </w:r>
    </w:p>
    <w:p w14:paraId="4AB6EFFA" w14:textId="77777777" w:rsidR="00A44FF8" w:rsidRDefault="00A44FF8" w:rsidP="00A44FF8">
      <w:pPr>
        <w:spacing w:after="0" w:line="360" w:lineRule="auto"/>
        <w:rPr>
          <w:sz w:val="24"/>
          <w:szCs w:val="24"/>
        </w:rPr>
      </w:pPr>
      <w:r w:rsidRPr="00F52EAA">
        <w:rPr>
          <w:sz w:val="24"/>
          <w:szCs w:val="24"/>
        </w:rPr>
        <w:t>7. Data wpisu i numer rejestru podmiotów wykonujących działalność leczniczą</w:t>
      </w:r>
    </w:p>
    <w:p w14:paraId="67211618" w14:textId="77777777" w:rsidR="000805CC" w:rsidRPr="00F52EAA" w:rsidRDefault="000805CC" w:rsidP="00A44FF8">
      <w:pPr>
        <w:spacing w:after="0" w:line="360" w:lineRule="auto"/>
        <w:rPr>
          <w:sz w:val="24"/>
          <w:szCs w:val="24"/>
        </w:rPr>
      </w:pPr>
      <w:r>
        <w:rPr>
          <w:sz w:val="24"/>
          <w:szCs w:val="24"/>
        </w:rPr>
        <w:t xml:space="preserve">    01.12.1998 r. - księga rejestrowa Wojewody Wielkopolskiego Nr 30-00099</w:t>
      </w:r>
    </w:p>
    <w:p w14:paraId="7B599379" w14:textId="77777777" w:rsidR="00E50123" w:rsidRPr="00F52EAA" w:rsidRDefault="00E50123" w:rsidP="00A44FF8">
      <w:pPr>
        <w:spacing w:after="0" w:line="360" w:lineRule="auto"/>
        <w:rPr>
          <w:sz w:val="24"/>
          <w:szCs w:val="24"/>
        </w:rPr>
      </w:pPr>
    </w:p>
    <w:p w14:paraId="367B735B" w14:textId="77777777" w:rsidR="00E50123" w:rsidRPr="00F52EAA" w:rsidRDefault="00E50123" w:rsidP="00A44FF8">
      <w:pPr>
        <w:spacing w:after="0" w:line="360" w:lineRule="auto"/>
        <w:rPr>
          <w:sz w:val="24"/>
          <w:szCs w:val="24"/>
        </w:rPr>
      </w:pPr>
    </w:p>
    <w:p w14:paraId="39054133" w14:textId="77777777" w:rsidR="0047283E" w:rsidRPr="00E824EB" w:rsidRDefault="004D507A" w:rsidP="00E824EB">
      <w:pPr>
        <w:spacing w:after="0" w:line="360" w:lineRule="auto"/>
        <w:rPr>
          <w:rFonts w:eastAsiaTheme="minorEastAsia"/>
          <w:b/>
          <w:color w:val="000000" w:themeColor="text1"/>
          <w:kern w:val="24"/>
          <w:sz w:val="24"/>
          <w:szCs w:val="24"/>
          <w:u w:val="single"/>
        </w:rPr>
      </w:pPr>
      <w:r w:rsidRPr="00F52EAA">
        <w:rPr>
          <w:rFonts w:eastAsiaTheme="minorEastAsia"/>
          <w:b/>
          <w:color w:val="000000" w:themeColor="text1"/>
          <w:kern w:val="24"/>
          <w:sz w:val="24"/>
          <w:szCs w:val="24"/>
          <w:u w:val="single"/>
        </w:rPr>
        <w:t>II. Analiza sytuacji ekonomiczno-finansowej za poprzedni rok obrotowy</w:t>
      </w:r>
    </w:p>
    <w:p w14:paraId="19A324E3" w14:textId="77777777" w:rsidR="009825A9" w:rsidRDefault="00F52EAA" w:rsidP="00A825DE">
      <w:pPr>
        <w:jc w:val="both"/>
        <w:rPr>
          <w:rFonts w:eastAsiaTheme="minorEastAsia"/>
          <w:color w:val="000000" w:themeColor="text1"/>
          <w:kern w:val="24"/>
          <w:sz w:val="24"/>
          <w:szCs w:val="24"/>
        </w:rPr>
      </w:pPr>
      <w:r>
        <w:rPr>
          <w:rFonts w:eastAsiaTheme="minorEastAsia"/>
          <w:color w:val="000000" w:themeColor="text1"/>
          <w:kern w:val="24"/>
          <w:sz w:val="24"/>
          <w:szCs w:val="24"/>
        </w:rPr>
        <w:tab/>
      </w:r>
      <w:r w:rsidR="00C74A67" w:rsidRPr="00F52EAA">
        <w:rPr>
          <w:rFonts w:eastAsiaTheme="minorEastAsia"/>
          <w:color w:val="000000" w:themeColor="text1"/>
          <w:kern w:val="24"/>
          <w:sz w:val="24"/>
          <w:szCs w:val="24"/>
        </w:rPr>
        <w:t>Ocena</w:t>
      </w:r>
      <w:r w:rsidR="009825A9">
        <w:rPr>
          <w:rFonts w:eastAsiaTheme="minorEastAsia"/>
          <w:color w:val="000000" w:themeColor="text1"/>
          <w:kern w:val="24"/>
          <w:sz w:val="24"/>
          <w:szCs w:val="24"/>
        </w:rPr>
        <w:t xml:space="preserve"> sytuacji ekonomiczno-finansowej </w:t>
      </w:r>
      <w:r w:rsidR="00820F7E" w:rsidRPr="00F52EAA">
        <w:rPr>
          <w:rFonts w:eastAsiaTheme="minorEastAsia"/>
          <w:color w:val="000000" w:themeColor="text1"/>
          <w:kern w:val="24"/>
          <w:sz w:val="24"/>
          <w:szCs w:val="24"/>
        </w:rPr>
        <w:t xml:space="preserve"> została opracowana w oparciu o teorię</w:t>
      </w:r>
      <w:r w:rsidR="00A825DE">
        <w:rPr>
          <w:rFonts w:eastAsiaTheme="minorEastAsia"/>
          <w:color w:val="000000" w:themeColor="text1"/>
          <w:kern w:val="24"/>
          <w:sz w:val="24"/>
          <w:szCs w:val="24"/>
        </w:rPr>
        <w:t xml:space="preserve">                              </w:t>
      </w:r>
      <w:r w:rsidR="00820F7E" w:rsidRPr="00F52EAA">
        <w:rPr>
          <w:rFonts w:eastAsiaTheme="minorEastAsia"/>
          <w:color w:val="000000" w:themeColor="text1"/>
          <w:kern w:val="24"/>
          <w:sz w:val="24"/>
          <w:szCs w:val="24"/>
        </w:rPr>
        <w:t xml:space="preserve"> i zas</w:t>
      </w:r>
      <w:r w:rsidR="009825A9">
        <w:rPr>
          <w:rFonts w:eastAsiaTheme="minorEastAsia"/>
          <w:color w:val="000000" w:themeColor="text1"/>
          <w:kern w:val="24"/>
          <w:sz w:val="24"/>
          <w:szCs w:val="24"/>
        </w:rPr>
        <w:t>ady analizy wskaźnikowej, dostos</w:t>
      </w:r>
      <w:r w:rsidR="00820F7E" w:rsidRPr="00F52EAA">
        <w:rPr>
          <w:rFonts w:eastAsiaTheme="minorEastAsia"/>
          <w:color w:val="000000" w:themeColor="text1"/>
          <w:kern w:val="24"/>
          <w:sz w:val="24"/>
          <w:szCs w:val="24"/>
        </w:rPr>
        <w:t>owan</w:t>
      </w:r>
      <w:r w:rsidR="00877601" w:rsidRPr="00F52EAA">
        <w:rPr>
          <w:rFonts w:eastAsiaTheme="minorEastAsia"/>
          <w:color w:val="000000" w:themeColor="text1"/>
          <w:kern w:val="24"/>
          <w:sz w:val="24"/>
          <w:szCs w:val="24"/>
        </w:rPr>
        <w:t>ej</w:t>
      </w:r>
      <w:r w:rsidR="00820F7E" w:rsidRPr="00F52EAA">
        <w:rPr>
          <w:rFonts w:eastAsiaTheme="minorEastAsia"/>
          <w:color w:val="000000" w:themeColor="text1"/>
          <w:kern w:val="24"/>
          <w:sz w:val="24"/>
          <w:szCs w:val="24"/>
        </w:rPr>
        <w:t xml:space="preserve"> do warunków i s</w:t>
      </w:r>
      <w:r w:rsidR="009825A9">
        <w:rPr>
          <w:rFonts w:eastAsiaTheme="minorEastAsia"/>
          <w:color w:val="000000" w:themeColor="text1"/>
          <w:kern w:val="24"/>
          <w:sz w:val="24"/>
          <w:szCs w:val="24"/>
        </w:rPr>
        <w:t>pecyfiki sektora ochrony zdrowia.</w:t>
      </w:r>
    </w:p>
    <w:p w14:paraId="22CAC666" w14:textId="77777777" w:rsidR="009825A9" w:rsidRDefault="000805CC"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R</w:t>
      </w:r>
      <w:r w:rsidR="005E7CCF">
        <w:rPr>
          <w:rFonts w:eastAsiaTheme="minorEastAsia"/>
          <w:color w:val="000000" w:themeColor="text1"/>
          <w:kern w:val="24"/>
          <w:sz w:val="24"/>
          <w:szCs w:val="24"/>
        </w:rPr>
        <w:t xml:space="preserve">aport sporządzono zgodnie z </w:t>
      </w:r>
      <w:r w:rsidR="009825A9">
        <w:rPr>
          <w:rFonts w:eastAsiaTheme="minorEastAsia"/>
          <w:color w:val="000000" w:themeColor="text1"/>
          <w:kern w:val="24"/>
          <w:sz w:val="24"/>
          <w:szCs w:val="24"/>
        </w:rPr>
        <w:t>Rozporządzeni</w:t>
      </w:r>
      <w:r w:rsidR="00B53010">
        <w:rPr>
          <w:rFonts w:eastAsiaTheme="minorEastAsia"/>
          <w:color w:val="000000" w:themeColor="text1"/>
          <w:kern w:val="24"/>
          <w:sz w:val="24"/>
          <w:szCs w:val="24"/>
        </w:rPr>
        <w:t>em</w:t>
      </w:r>
      <w:r w:rsidR="005E7CCF">
        <w:rPr>
          <w:rFonts w:eastAsiaTheme="minorEastAsia"/>
          <w:color w:val="000000" w:themeColor="text1"/>
          <w:kern w:val="24"/>
          <w:sz w:val="24"/>
          <w:szCs w:val="24"/>
        </w:rPr>
        <w:t xml:space="preserve"> </w:t>
      </w:r>
      <w:r w:rsidR="009825A9">
        <w:rPr>
          <w:rFonts w:eastAsiaTheme="minorEastAsia"/>
          <w:color w:val="000000" w:themeColor="text1"/>
          <w:kern w:val="24"/>
          <w:sz w:val="24"/>
          <w:szCs w:val="24"/>
        </w:rPr>
        <w:t xml:space="preserve">Ministra Zdrowia z dnia 25 kwietnia 2017 roku w sprawie wskaźników ekonomiczno- finansowych niezbędnych do sporządzenia analizy oraz prognozy sytuacji ekonomiczno-finansowej samodzielnych publicznych zakładów opieki zdrowotnej. </w:t>
      </w:r>
    </w:p>
    <w:p w14:paraId="5829F7CB" w14:textId="0F263EB0" w:rsidR="005E7CCF" w:rsidRDefault="005E7CCF"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Analizę sytuacj</w:t>
      </w:r>
      <w:r w:rsidR="00802A08">
        <w:rPr>
          <w:rFonts w:eastAsiaTheme="minorEastAsia"/>
          <w:color w:val="000000" w:themeColor="text1"/>
          <w:kern w:val="24"/>
          <w:sz w:val="24"/>
          <w:szCs w:val="24"/>
        </w:rPr>
        <w:t>i ekonomiczno-finansowej za 201</w:t>
      </w:r>
      <w:r w:rsidR="001964B2">
        <w:rPr>
          <w:rFonts w:eastAsiaTheme="minorEastAsia"/>
          <w:color w:val="000000" w:themeColor="text1"/>
          <w:kern w:val="24"/>
          <w:sz w:val="24"/>
          <w:szCs w:val="24"/>
        </w:rPr>
        <w:t>9</w:t>
      </w:r>
      <w:r>
        <w:rPr>
          <w:rFonts w:eastAsiaTheme="minorEastAsia"/>
          <w:color w:val="000000" w:themeColor="text1"/>
          <w:kern w:val="24"/>
          <w:sz w:val="24"/>
          <w:szCs w:val="24"/>
        </w:rPr>
        <w:t xml:space="preserve"> rok przeprowadzono w oparciu o punktowe oceny przypisane poszczególnym </w:t>
      </w:r>
      <w:r w:rsidR="0075192A">
        <w:rPr>
          <w:rFonts w:eastAsiaTheme="minorEastAsia"/>
          <w:color w:val="000000" w:themeColor="text1"/>
          <w:kern w:val="24"/>
          <w:sz w:val="24"/>
          <w:szCs w:val="24"/>
        </w:rPr>
        <w:t>wskaźnikom wyliczonym zgodnie ze sposobem określonym w/w rozporządzeniu</w:t>
      </w:r>
      <w:r>
        <w:rPr>
          <w:rFonts w:eastAsiaTheme="minorEastAsia"/>
          <w:color w:val="000000" w:themeColor="text1"/>
          <w:kern w:val="24"/>
          <w:sz w:val="24"/>
          <w:szCs w:val="24"/>
        </w:rPr>
        <w:t xml:space="preserve">. </w:t>
      </w:r>
    </w:p>
    <w:p w14:paraId="5D13FE30" w14:textId="77777777" w:rsidR="00F352FF" w:rsidRDefault="00C74A67" w:rsidP="00877601">
      <w:pPr>
        <w:rPr>
          <w:rFonts w:eastAsiaTheme="minorEastAsia"/>
          <w:color w:val="000000" w:themeColor="text1"/>
          <w:kern w:val="24"/>
          <w:sz w:val="24"/>
          <w:szCs w:val="24"/>
        </w:rPr>
      </w:pPr>
      <w:r w:rsidRPr="00F52EAA">
        <w:rPr>
          <w:rFonts w:eastAsiaTheme="minorEastAsia"/>
          <w:color w:val="000000" w:themeColor="text1"/>
          <w:kern w:val="24"/>
          <w:sz w:val="24"/>
          <w:szCs w:val="24"/>
        </w:rPr>
        <w:t xml:space="preserve"> </w:t>
      </w:r>
    </w:p>
    <w:p w14:paraId="630B504D" w14:textId="77777777" w:rsidR="00BA4E0B" w:rsidRDefault="00BA4E0B" w:rsidP="00877601">
      <w:pPr>
        <w:rPr>
          <w:rFonts w:eastAsiaTheme="minorEastAsia"/>
          <w:color w:val="000000" w:themeColor="text1"/>
          <w:kern w:val="24"/>
          <w:sz w:val="24"/>
          <w:szCs w:val="24"/>
        </w:rPr>
      </w:pPr>
    </w:p>
    <w:p w14:paraId="44148425" w14:textId="77777777" w:rsidR="00BA4E0B" w:rsidRDefault="00BA4E0B" w:rsidP="00877601">
      <w:pPr>
        <w:rPr>
          <w:rFonts w:eastAsiaTheme="minorEastAsia"/>
          <w:color w:val="000000" w:themeColor="text1"/>
          <w:kern w:val="24"/>
          <w:sz w:val="24"/>
          <w:szCs w:val="24"/>
        </w:rPr>
      </w:pPr>
    </w:p>
    <w:p w14:paraId="621E680A" w14:textId="77777777" w:rsidR="00E824EB" w:rsidRDefault="00E824EB" w:rsidP="00877601">
      <w:pPr>
        <w:rPr>
          <w:rFonts w:eastAsiaTheme="minorEastAsia"/>
          <w:color w:val="000000" w:themeColor="text1"/>
          <w:kern w:val="24"/>
          <w:sz w:val="24"/>
          <w:szCs w:val="24"/>
        </w:rPr>
      </w:pPr>
    </w:p>
    <w:p w14:paraId="438A375A" w14:textId="77777777" w:rsidR="00BA4E0B" w:rsidRDefault="00BA4E0B" w:rsidP="00877601">
      <w:pPr>
        <w:rPr>
          <w:rFonts w:eastAsiaTheme="minorEastAsia"/>
          <w:color w:val="000000" w:themeColor="text1"/>
          <w:kern w:val="24"/>
          <w:sz w:val="24"/>
          <w:szCs w:val="24"/>
        </w:rPr>
      </w:pPr>
    </w:p>
    <w:p w14:paraId="287A4ADE" w14:textId="77777777" w:rsidR="00BA4E0B" w:rsidRPr="00F52EAA" w:rsidRDefault="00BA4E0B" w:rsidP="00877601">
      <w:pPr>
        <w:rPr>
          <w:rFonts w:eastAsiaTheme="minorEastAsia"/>
          <w:color w:val="000000" w:themeColor="text1"/>
          <w:kern w:val="24"/>
          <w:sz w:val="24"/>
          <w:szCs w:val="24"/>
        </w:rPr>
      </w:pPr>
    </w:p>
    <w:tbl>
      <w:tblPr>
        <w:tblW w:w="11198" w:type="dxa"/>
        <w:tblInd w:w="-214" w:type="dxa"/>
        <w:tblLayout w:type="fixed"/>
        <w:tblCellMar>
          <w:left w:w="70" w:type="dxa"/>
          <w:right w:w="70" w:type="dxa"/>
        </w:tblCellMar>
        <w:tblLook w:val="04A0" w:firstRow="1" w:lastRow="0" w:firstColumn="1" w:lastColumn="0" w:noHBand="0" w:noVBand="1"/>
      </w:tblPr>
      <w:tblGrid>
        <w:gridCol w:w="11198"/>
      </w:tblGrid>
      <w:tr w:rsidR="00F352FF" w:rsidRPr="00F352FF" w14:paraId="127D4AB5" w14:textId="77777777" w:rsidTr="00252190">
        <w:trPr>
          <w:trHeight w:val="4536"/>
        </w:trPr>
        <w:tc>
          <w:tcPr>
            <w:tcW w:w="11198" w:type="dxa"/>
            <w:tcBorders>
              <w:top w:val="nil"/>
              <w:left w:val="nil"/>
              <w:bottom w:val="single" w:sz="8" w:space="0" w:color="auto"/>
              <w:right w:val="nil"/>
            </w:tcBorders>
            <w:shd w:val="clear" w:color="000000" w:fill="FFFFFF"/>
            <w:noWrap/>
            <w:vAlign w:val="center"/>
            <w:hideMark/>
          </w:tcPr>
          <w:tbl>
            <w:tblPr>
              <w:tblW w:w="9936" w:type="dxa"/>
              <w:tblLayout w:type="fixed"/>
              <w:tblCellMar>
                <w:left w:w="70" w:type="dxa"/>
                <w:right w:w="70" w:type="dxa"/>
              </w:tblCellMar>
              <w:tblLook w:val="04A0" w:firstRow="1" w:lastRow="0" w:firstColumn="1" w:lastColumn="0" w:noHBand="0" w:noVBand="1"/>
            </w:tblPr>
            <w:tblGrid>
              <w:gridCol w:w="1249"/>
              <w:gridCol w:w="4352"/>
              <w:gridCol w:w="1984"/>
              <w:gridCol w:w="851"/>
              <w:gridCol w:w="850"/>
              <w:gridCol w:w="650"/>
            </w:tblGrid>
            <w:tr w:rsidR="00BA4E0B" w:rsidRPr="00BA4E0B" w14:paraId="17CCE62D" w14:textId="77777777" w:rsidTr="00BA4E0B">
              <w:trPr>
                <w:trHeight w:val="555"/>
              </w:trPr>
              <w:tc>
                <w:tcPr>
                  <w:tcW w:w="9936" w:type="dxa"/>
                  <w:gridSpan w:val="6"/>
                  <w:tcBorders>
                    <w:top w:val="nil"/>
                    <w:left w:val="nil"/>
                    <w:bottom w:val="single" w:sz="8" w:space="0" w:color="auto"/>
                    <w:right w:val="nil"/>
                  </w:tcBorders>
                  <w:shd w:val="clear" w:color="000000" w:fill="FFFFFF"/>
                  <w:noWrap/>
                  <w:vAlign w:val="center"/>
                  <w:hideMark/>
                </w:tcPr>
                <w:p w14:paraId="7696F1F3" w14:textId="2868E39F" w:rsidR="00BA4E0B" w:rsidRPr="00BA4E0B" w:rsidRDefault="00BA4E0B" w:rsidP="00BA4E0B">
                  <w:pPr>
                    <w:spacing w:after="0" w:line="240" w:lineRule="auto"/>
                    <w:jc w:val="center"/>
                    <w:rPr>
                      <w:rFonts w:eastAsia="Times New Roman" w:cs="Arial"/>
                      <w:b/>
                      <w:bCs/>
                      <w:sz w:val="24"/>
                      <w:szCs w:val="24"/>
                      <w:lang w:eastAsia="pl-PL"/>
                    </w:rPr>
                  </w:pPr>
                  <w:r w:rsidRPr="00BA4E0B">
                    <w:rPr>
                      <w:rFonts w:eastAsia="Times New Roman" w:cs="Arial"/>
                      <w:b/>
                      <w:bCs/>
                      <w:sz w:val="24"/>
                      <w:szCs w:val="24"/>
                      <w:lang w:eastAsia="pl-PL"/>
                    </w:rPr>
                    <w:t>ANALIZA WSKAŹNIKOWA I PUNK</w:t>
                  </w:r>
                  <w:r w:rsidR="00BD14FD">
                    <w:rPr>
                      <w:rFonts w:eastAsia="Times New Roman" w:cs="Arial"/>
                      <w:b/>
                      <w:bCs/>
                      <w:sz w:val="24"/>
                      <w:szCs w:val="24"/>
                      <w:lang w:eastAsia="pl-PL"/>
                    </w:rPr>
                    <w:t>TOWA SYTUACJI FINANSOWEJ za 201</w:t>
                  </w:r>
                  <w:r w:rsidR="001964B2">
                    <w:rPr>
                      <w:rFonts w:eastAsia="Times New Roman" w:cs="Arial"/>
                      <w:b/>
                      <w:bCs/>
                      <w:sz w:val="24"/>
                      <w:szCs w:val="24"/>
                      <w:lang w:eastAsia="pl-PL"/>
                    </w:rPr>
                    <w:t>9</w:t>
                  </w:r>
                  <w:r w:rsidRPr="00BA4E0B">
                    <w:rPr>
                      <w:rFonts w:eastAsia="Times New Roman" w:cs="Arial"/>
                      <w:b/>
                      <w:bCs/>
                      <w:sz w:val="24"/>
                      <w:szCs w:val="24"/>
                      <w:lang w:eastAsia="pl-PL"/>
                    </w:rPr>
                    <w:t>r.</w:t>
                  </w:r>
                </w:p>
              </w:tc>
            </w:tr>
            <w:tr w:rsidR="00A828B5" w:rsidRPr="00E824EB" w14:paraId="437A6642" w14:textId="77777777" w:rsidTr="00A828B5">
              <w:trPr>
                <w:trHeight w:val="509"/>
              </w:trPr>
              <w:tc>
                <w:tcPr>
                  <w:tcW w:w="1249" w:type="dxa"/>
                  <w:vMerge w:val="restart"/>
                  <w:tcBorders>
                    <w:top w:val="nil"/>
                    <w:left w:val="single" w:sz="8" w:space="0" w:color="auto"/>
                    <w:bottom w:val="single" w:sz="4" w:space="0" w:color="000000"/>
                    <w:right w:val="single" w:sz="4" w:space="0" w:color="auto"/>
                  </w:tcBorders>
                  <w:shd w:val="clear" w:color="000000" w:fill="FFCC00"/>
                  <w:vAlign w:val="center"/>
                  <w:hideMark/>
                </w:tcPr>
                <w:p w14:paraId="2AA6F93B"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Wskaźniki</w:t>
                  </w:r>
                </w:p>
              </w:tc>
              <w:tc>
                <w:tcPr>
                  <w:tcW w:w="4352"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62B41EB4"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Metoda ustalenia</w:t>
                  </w:r>
                </w:p>
              </w:tc>
              <w:tc>
                <w:tcPr>
                  <w:tcW w:w="1984"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330ACA2A"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Przedziały           wartości</w:t>
                  </w:r>
                </w:p>
              </w:tc>
              <w:tc>
                <w:tcPr>
                  <w:tcW w:w="851"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3FFA80E1"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Ocena punktowa</w:t>
                  </w:r>
                </w:p>
              </w:tc>
              <w:tc>
                <w:tcPr>
                  <w:tcW w:w="850"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082F067E"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 xml:space="preserve">Wskaźnik </w:t>
                  </w:r>
                </w:p>
              </w:tc>
              <w:tc>
                <w:tcPr>
                  <w:tcW w:w="650" w:type="dxa"/>
                  <w:vMerge w:val="restart"/>
                  <w:tcBorders>
                    <w:top w:val="nil"/>
                    <w:left w:val="nil"/>
                    <w:bottom w:val="single" w:sz="4" w:space="0" w:color="000000"/>
                    <w:right w:val="single" w:sz="8" w:space="0" w:color="auto"/>
                  </w:tcBorders>
                  <w:shd w:val="clear" w:color="000000" w:fill="FFCC00"/>
                  <w:vAlign w:val="center"/>
                  <w:hideMark/>
                </w:tcPr>
                <w:p w14:paraId="0F18BF95"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 xml:space="preserve">Ocena </w:t>
                  </w:r>
                </w:p>
              </w:tc>
            </w:tr>
            <w:tr w:rsidR="00A828B5" w:rsidRPr="00E824EB" w14:paraId="48D39395" w14:textId="77777777" w:rsidTr="00A828B5">
              <w:trPr>
                <w:trHeight w:val="509"/>
              </w:trPr>
              <w:tc>
                <w:tcPr>
                  <w:tcW w:w="1249" w:type="dxa"/>
                  <w:vMerge/>
                  <w:tcBorders>
                    <w:top w:val="nil"/>
                    <w:left w:val="single" w:sz="8" w:space="0" w:color="auto"/>
                    <w:bottom w:val="single" w:sz="4" w:space="0" w:color="000000"/>
                    <w:right w:val="single" w:sz="4" w:space="0" w:color="auto"/>
                  </w:tcBorders>
                  <w:vAlign w:val="center"/>
                  <w:hideMark/>
                </w:tcPr>
                <w:p w14:paraId="49B1D57B" w14:textId="77777777" w:rsidR="00BA4E0B" w:rsidRPr="00BA4E0B" w:rsidRDefault="00BA4E0B" w:rsidP="00BA4E0B">
                  <w:pPr>
                    <w:spacing w:after="0" w:line="240" w:lineRule="auto"/>
                    <w:rPr>
                      <w:rFonts w:eastAsia="Times New Roman" w:cs="Arial"/>
                      <w:lang w:eastAsia="pl-PL"/>
                    </w:rPr>
                  </w:pPr>
                </w:p>
              </w:tc>
              <w:tc>
                <w:tcPr>
                  <w:tcW w:w="4352" w:type="dxa"/>
                  <w:vMerge/>
                  <w:tcBorders>
                    <w:top w:val="nil"/>
                    <w:left w:val="single" w:sz="4" w:space="0" w:color="auto"/>
                    <w:bottom w:val="single" w:sz="4" w:space="0" w:color="000000"/>
                    <w:right w:val="single" w:sz="4" w:space="0" w:color="auto"/>
                  </w:tcBorders>
                  <w:vAlign w:val="center"/>
                  <w:hideMark/>
                </w:tcPr>
                <w:p w14:paraId="4657B1EA" w14:textId="77777777" w:rsidR="00BA4E0B" w:rsidRPr="00BA4E0B" w:rsidRDefault="00BA4E0B" w:rsidP="00BA4E0B">
                  <w:pPr>
                    <w:spacing w:after="0" w:line="240" w:lineRule="auto"/>
                    <w:rPr>
                      <w:rFonts w:eastAsia="Times New Roman" w:cs="Arial"/>
                      <w:lang w:eastAsia="pl-PL"/>
                    </w:rPr>
                  </w:pPr>
                </w:p>
              </w:tc>
              <w:tc>
                <w:tcPr>
                  <w:tcW w:w="1984" w:type="dxa"/>
                  <w:vMerge/>
                  <w:tcBorders>
                    <w:top w:val="nil"/>
                    <w:left w:val="single" w:sz="4" w:space="0" w:color="auto"/>
                    <w:bottom w:val="single" w:sz="4" w:space="0" w:color="000000"/>
                    <w:right w:val="single" w:sz="4" w:space="0" w:color="auto"/>
                  </w:tcBorders>
                  <w:vAlign w:val="center"/>
                  <w:hideMark/>
                </w:tcPr>
                <w:p w14:paraId="2D513CDE" w14:textId="77777777" w:rsidR="00BA4E0B" w:rsidRPr="00BA4E0B" w:rsidRDefault="00BA4E0B" w:rsidP="00BA4E0B">
                  <w:pPr>
                    <w:spacing w:after="0" w:line="240" w:lineRule="auto"/>
                    <w:rPr>
                      <w:rFonts w:eastAsia="Times New Roman" w:cs="Arial"/>
                      <w:sz w:val="20"/>
                      <w:szCs w:val="20"/>
                      <w:lang w:eastAsia="pl-PL"/>
                    </w:rPr>
                  </w:pPr>
                </w:p>
              </w:tc>
              <w:tc>
                <w:tcPr>
                  <w:tcW w:w="851" w:type="dxa"/>
                  <w:vMerge/>
                  <w:tcBorders>
                    <w:top w:val="nil"/>
                    <w:left w:val="single" w:sz="4" w:space="0" w:color="auto"/>
                    <w:bottom w:val="single" w:sz="4" w:space="0" w:color="000000"/>
                    <w:right w:val="single" w:sz="4" w:space="0" w:color="auto"/>
                  </w:tcBorders>
                  <w:vAlign w:val="center"/>
                  <w:hideMark/>
                </w:tcPr>
                <w:p w14:paraId="2098E8D7" w14:textId="77777777" w:rsidR="00BA4E0B" w:rsidRPr="00BA4E0B" w:rsidRDefault="00BA4E0B" w:rsidP="00BA4E0B">
                  <w:pPr>
                    <w:spacing w:after="0" w:line="240" w:lineRule="auto"/>
                    <w:rPr>
                      <w:rFonts w:eastAsia="Times New Roman" w:cs="Arial"/>
                      <w:sz w:val="18"/>
                      <w:szCs w:val="18"/>
                      <w:lang w:eastAsia="pl-PL"/>
                    </w:rPr>
                  </w:pPr>
                </w:p>
              </w:tc>
              <w:tc>
                <w:tcPr>
                  <w:tcW w:w="850" w:type="dxa"/>
                  <w:vMerge/>
                  <w:tcBorders>
                    <w:top w:val="nil"/>
                    <w:left w:val="single" w:sz="4" w:space="0" w:color="auto"/>
                    <w:bottom w:val="single" w:sz="4" w:space="0" w:color="000000"/>
                    <w:right w:val="single" w:sz="4" w:space="0" w:color="auto"/>
                  </w:tcBorders>
                  <w:vAlign w:val="center"/>
                  <w:hideMark/>
                </w:tcPr>
                <w:p w14:paraId="252951EE" w14:textId="77777777" w:rsidR="00BA4E0B" w:rsidRPr="00BA4E0B" w:rsidRDefault="00BA4E0B" w:rsidP="00BA4E0B">
                  <w:pPr>
                    <w:spacing w:after="0" w:line="240" w:lineRule="auto"/>
                    <w:rPr>
                      <w:rFonts w:eastAsia="Times New Roman" w:cs="Arial"/>
                      <w:sz w:val="18"/>
                      <w:szCs w:val="18"/>
                      <w:lang w:eastAsia="pl-PL"/>
                    </w:rPr>
                  </w:pPr>
                </w:p>
              </w:tc>
              <w:tc>
                <w:tcPr>
                  <w:tcW w:w="650" w:type="dxa"/>
                  <w:vMerge/>
                  <w:tcBorders>
                    <w:top w:val="nil"/>
                    <w:left w:val="nil"/>
                    <w:bottom w:val="single" w:sz="4" w:space="0" w:color="000000"/>
                    <w:right w:val="single" w:sz="8" w:space="0" w:color="auto"/>
                  </w:tcBorders>
                  <w:vAlign w:val="center"/>
                  <w:hideMark/>
                </w:tcPr>
                <w:p w14:paraId="3D38D86D" w14:textId="77777777" w:rsidR="00BA4E0B" w:rsidRPr="00BA4E0B" w:rsidRDefault="00BA4E0B" w:rsidP="00BA4E0B">
                  <w:pPr>
                    <w:spacing w:after="0" w:line="240" w:lineRule="auto"/>
                    <w:rPr>
                      <w:rFonts w:eastAsia="Times New Roman" w:cs="Arial"/>
                      <w:sz w:val="18"/>
                      <w:szCs w:val="18"/>
                      <w:lang w:eastAsia="pl-PL"/>
                    </w:rPr>
                  </w:pPr>
                </w:p>
              </w:tc>
            </w:tr>
            <w:tr w:rsidR="00A828B5" w:rsidRPr="00E824EB" w14:paraId="154438FF" w14:textId="77777777" w:rsidTr="00A828B5">
              <w:trPr>
                <w:trHeight w:val="300"/>
              </w:trPr>
              <w:tc>
                <w:tcPr>
                  <w:tcW w:w="5601" w:type="dxa"/>
                  <w:gridSpan w:val="2"/>
                  <w:tcBorders>
                    <w:top w:val="single" w:sz="4" w:space="0" w:color="auto"/>
                    <w:left w:val="single" w:sz="8" w:space="0" w:color="auto"/>
                    <w:bottom w:val="single" w:sz="4" w:space="0" w:color="auto"/>
                    <w:right w:val="nil"/>
                  </w:tcBorders>
                  <w:shd w:val="clear" w:color="000000" w:fill="969696"/>
                  <w:noWrap/>
                  <w:vAlign w:val="center"/>
                  <w:hideMark/>
                </w:tcPr>
                <w:p w14:paraId="77D187A1"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     WSKAŹNIKI ZYSKOWNOŚCI</w:t>
                  </w:r>
                </w:p>
              </w:tc>
              <w:tc>
                <w:tcPr>
                  <w:tcW w:w="1984" w:type="dxa"/>
                  <w:tcBorders>
                    <w:top w:val="nil"/>
                    <w:left w:val="nil"/>
                    <w:bottom w:val="single" w:sz="4" w:space="0" w:color="auto"/>
                    <w:right w:val="nil"/>
                  </w:tcBorders>
                  <w:shd w:val="clear" w:color="000000" w:fill="969696"/>
                  <w:noWrap/>
                  <w:vAlign w:val="center"/>
                  <w:hideMark/>
                </w:tcPr>
                <w:p w14:paraId="3C4D16C9"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nil"/>
                    <w:left w:val="nil"/>
                    <w:bottom w:val="single" w:sz="4" w:space="0" w:color="auto"/>
                    <w:right w:val="nil"/>
                  </w:tcBorders>
                  <w:shd w:val="clear" w:color="000000" w:fill="969696"/>
                  <w:noWrap/>
                  <w:vAlign w:val="center"/>
                  <w:hideMark/>
                </w:tcPr>
                <w:p w14:paraId="746FFB0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nil"/>
                    <w:left w:val="nil"/>
                    <w:bottom w:val="single" w:sz="4" w:space="0" w:color="auto"/>
                    <w:right w:val="nil"/>
                  </w:tcBorders>
                  <w:shd w:val="clear" w:color="000000" w:fill="969696"/>
                  <w:noWrap/>
                  <w:vAlign w:val="center"/>
                  <w:hideMark/>
                </w:tcPr>
                <w:p w14:paraId="06FF205B"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nil"/>
                    <w:left w:val="nil"/>
                    <w:bottom w:val="single" w:sz="4" w:space="0" w:color="auto"/>
                    <w:right w:val="single" w:sz="8" w:space="0" w:color="auto"/>
                  </w:tcBorders>
                  <w:shd w:val="clear" w:color="000000" w:fill="969696"/>
                  <w:noWrap/>
                  <w:vAlign w:val="center"/>
                  <w:hideMark/>
                </w:tcPr>
                <w:p w14:paraId="0488F5A4"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A828B5" w:rsidRPr="00E824EB" w14:paraId="34C447F5" w14:textId="77777777" w:rsidTr="00A828B5">
              <w:trPr>
                <w:trHeight w:val="1371"/>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754B4CC0" w14:textId="77777777" w:rsidR="00BA4E0B" w:rsidRPr="00BA4E0B" w:rsidRDefault="00BA4E0B" w:rsidP="00BA4E0B">
                  <w:pPr>
                    <w:spacing w:after="0" w:line="240" w:lineRule="auto"/>
                    <w:rPr>
                      <w:rFonts w:eastAsia="Times New Roman" w:cs="Arial"/>
                      <w:sz w:val="20"/>
                      <w:szCs w:val="20"/>
                      <w:lang w:eastAsia="pl-PL"/>
                    </w:rPr>
                  </w:pPr>
                  <w:r w:rsidRPr="00BA4E0B">
                    <w:rPr>
                      <w:rFonts w:eastAsia="Times New Roman" w:cs="Arial"/>
                      <w:b/>
                      <w:bCs/>
                      <w:sz w:val="20"/>
                      <w:szCs w:val="20"/>
                      <w:lang w:eastAsia="pl-PL"/>
                    </w:rPr>
                    <w:t xml:space="preserve">Zyskowności  netto   </w:t>
                  </w:r>
                  <w:r w:rsidRPr="00BA4E0B">
                    <w:rPr>
                      <w:rFonts w:eastAsia="Times New Roman" w:cs="Arial"/>
                      <w:sz w:val="20"/>
                      <w:szCs w:val="20"/>
                      <w:lang w:eastAsia="pl-PL"/>
                    </w:rPr>
                    <w:t xml:space="preserve">                                                           </w:t>
                  </w:r>
                </w:p>
              </w:tc>
              <w:tc>
                <w:tcPr>
                  <w:tcW w:w="4352" w:type="dxa"/>
                  <w:tcBorders>
                    <w:top w:val="nil"/>
                    <w:left w:val="nil"/>
                    <w:bottom w:val="nil"/>
                    <w:right w:val="nil"/>
                  </w:tcBorders>
                  <w:shd w:val="clear" w:color="auto" w:fill="auto"/>
                  <w:noWrap/>
                  <w:vAlign w:val="bottom"/>
                  <w:hideMark/>
                </w:tcPr>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D6C9B1F" w14:textId="77777777" w:rsidTr="00BA4E0B">
                    <w:trPr>
                      <w:trHeight w:val="1145"/>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64CC51D7" w14:textId="77777777" w:rsidR="00BA4E0B" w:rsidRPr="00BA4E0B" w:rsidRDefault="00BA4E0B" w:rsidP="00BA4E0B">
                        <w:pPr>
                          <w:spacing w:after="0" w:line="240" w:lineRule="auto"/>
                          <w:jc w:val="center"/>
                          <w:rPr>
                            <w:rFonts w:eastAsia="Times New Roman" w:cs="Arial"/>
                            <w:sz w:val="20"/>
                            <w:szCs w:val="20"/>
                            <w:lang w:eastAsia="pl-PL"/>
                          </w:rPr>
                        </w:pPr>
                        <w:r w:rsidRPr="00E824EB">
                          <w:rPr>
                            <w:rFonts w:eastAsia="Times New Roman" w:cs="Arial"/>
                            <w:noProof/>
                            <w:sz w:val="20"/>
                            <w:szCs w:val="20"/>
                            <w:lang w:eastAsia="pl-PL"/>
                          </w:rPr>
                          <w:drawing>
                            <wp:anchor distT="0" distB="0" distL="114300" distR="114300" simplePos="0" relativeHeight="251656704" behindDoc="0" locked="0" layoutInCell="1" allowOverlap="1" wp14:anchorId="5BBF5326" wp14:editId="55E5D20A">
                              <wp:simplePos x="0" y="0"/>
                              <wp:positionH relativeFrom="column">
                                <wp:posOffset>180975</wp:posOffset>
                              </wp:positionH>
                              <wp:positionV relativeFrom="paragraph">
                                <wp:posOffset>161925</wp:posOffset>
                              </wp:positionV>
                              <wp:extent cx="2171700" cy="28575"/>
                              <wp:effectExtent l="0" t="0" r="635" b="0"/>
                              <wp:wrapNone/>
                              <wp:docPr id="15" name="Łącznik prosty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962025" y="1381125"/>
                                        <a:ext cx="2152650" cy="0"/>
                                        <a:chOff x="962025" y="1381125"/>
                                        <a:chExt cx="2152650" cy="0"/>
                                      </a:xfrm>
                                    </a:grpSpPr>
                                    <a:cxnSp>
                                      <a:nvCxnSpPr>
                                        <a:cNvPr id="3" name="Łącznik prosty 2"/>
                                        <a:cNvCxnSpPr/>
                                      </a:nvCxnSpPr>
                                      <a:spPr>
                                        <a:xfrm>
                                          <a:off x="1714500" y="1600200"/>
                                          <a:ext cx="2152650" cy="0"/>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r w:rsidRPr="00BA4E0B">
                          <w:rPr>
                            <w:rFonts w:eastAsia="Times New Roman" w:cs="Arial"/>
                            <w:sz w:val="20"/>
                            <w:szCs w:val="20"/>
                            <w:lang w:eastAsia="pl-PL"/>
                          </w:rPr>
                          <w:t>wynik netto  x  100%                                        przychody netto ze sprzedaży produktów                                 + przychody netto ze sprzedaży towarów                               i materiałów + pozostałe przychody operacyjne                     + przychody finansowe</w:t>
                        </w:r>
                      </w:p>
                    </w:tc>
                  </w:tr>
                </w:tbl>
                <w:p w14:paraId="1A87AAF6"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61B669C5"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od 0,0% do 2,0 %                                             powyżej 2,0% do 4,0%                                                                                        powyżej 4,0%</w:t>
                  </w:r>
                </w:p>
              </w:tc>
              <w:tc>
                <w:tcPr>
                  <w:tcW w:w="851" w:type="dxa"/>
                  <w:tcBorders>
                    <w:top w:val="nil"/>
                    <w:left w:val="nil"/>
                    <w:bottom w:val="single" w:sz="4" w:space="0" w:color="auto"/>
                    <w:right w:val="single" w:sz="4" w:space="0" w:color="auto"/>
                  </w:tcBorders>
                  <w:shd w:val="clear" w:color="auto" w:fill="auto"/>
                  <w:vAlign w:val="center"/>
                  <w:hideMark/>
                </w:tcPr>
                <w:p w14:paraId="2E04929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BA4E0B">
                    <w:rPr>
                      <w:rFonts w:eastAsia="Times New Roman" w:cs="Arial"/>
                      <w:b/>
                      <w:bCs/>
                      <w:sz w:val="20"/>
                      <w:szCs w:val="20"/>
                      <w:lang w:eastAsia="pl-PL"/>
                    </w:rPr>
                    <w:t>5</w:t>
                  </w:r>
                </w:p>
              </w:tc>
              <w:tc>
                <w:tcPr>
                  <w:tcW w:w="850" w:type="dxa"/>
                  <w:tcBorders>
                    <w:top w:val="nil"/>
                    <w:left w:val="nil"/>
                    <w:bottom w:val="single" w:sz="4" w:space="0" w:color="auto"/>
                    <w:right w:val="single" w:sz="4" w:space="0" w:color="auto"/>
                  </w:tcBorders>
                  <w:shd w:val="clear" w:color="auto" w:fill="auto"/>
                  <w:noWrap/>
                  <w:vAlign w:val="center"/>
                  <w:hideMark/>
                </w:tcPr>
                <w:p w14:paraId="0077A304" w14:textId="21FE4D19" w:rsidR="00BA4E0B" w:rsidRPr="00BA4E0B" w:rsidRDefault="001964B2" w:rsidP="00577EC7">
                  <w:pPr>
                    <w:spacing w:after="0" w:line="240" w:lineRule="auto"/>
                    <w:rPr>
                      <w:rFonts w:eastAsia="Times New Roman" w:cs="Arial"/>
                      <w:b/>
                      <w:bCs/>
                      <w:lang w:eastAsia="pl-PL"/>
                    </w:rPr>
                  </w:pPr>
                  <w:r>
                    <w:rPr>
                      <w:rFonts w:eastAsia="Times New Roman" w:cs="Arial"/>
                      <w:b/>
                      <w:bCs/>
                      <w:lang w:eastAsia="pl-PL"/>
                    </w:rPr>
                    <w:t>0,1 %</w:t>
                  </w:r>
                </w:p>
              </w:tc>
              <w:tc>
                <w:tcPr>
                  <w:tcW w:w="650" w:type="dxa"/>
                  <w:tcBorders>
                    <w:top w:val="nil"/>
                    <w:left w:val="nil"/>
                    <w:bottom w:val="single" w:sz="4" w:space="0" w:color="auto"/>
                    <w:right w:val="single" w:sz="4" w:space="0" w:color="auto"/>
                  </w:tcBorders>
                  <w:shd w:val="clear" w:color="000000" w:fill="FFFFFF"/>
                  <w:vAlign w:val="center"/>
                  <w:hideMark/>
                </w:tcPr>
                <w:p w14:paraId="08B577DE" w14:textId="4BD57EEC"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3</w:t>
                  </w:r>
                </w:p>
              </w:tc>
            </w:tr>
            <w:tr w:rsidR="00A828B5" w:rsidRPr="00E824EB" w14:paraId="7F381F6A" w14:textId="77777777" w:rsidTr="00A828B5">
              <w:trPr>
                <w:trHeight w:val="1405"/>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69094BD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Zyskowności działalności operacyjnej             </w:t>
                  </w:r>
                </w:p>
              </w:tc>
              <w:tc>
                <w:tcPr>
                  <w:tcW w:w="4352" w:type="dxa"/>
                  <w:tcBorders>
                    <w:top w:val="nil"/>
                    <w:left w:val="nil"/>
                    <w:bottom w:val="nil"/>
                    <w:right w:val="nil"/>
                  </w:tcBorders>
                  <w:shd w:val="clear" w:color="auto" w:fill="auto"/>
                  <w:noWrap/>
                  <w:vAlign w:val="bottom"/>
                  <w:hideMark/>
                </w:tcPr>
                <w:p w14:paraId="24AF8AC1"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6015378" w14:textId="77777777" w:rsidTr="00BA4E0B">
                    <w:trPr>
                      <w:trHeight w:val="1095"/>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7D6AD1D8" w14:textId="77777777" w:rsidR="00BA4E0B" w:rsidRPr="00BA4E0B" w:rsidRDefault="00BA4E0B" w:rsidP="00BA4E0B">
                        <w:pPr>
                          <w:spacing w:after="0" w:line="240" w:lineRule="auto"/>
                          <w:rPr>
                            <w:rFonts w:eastAsia="Times New Roman" w:cs="Arial"/>
                            <w:sz w:val="20"/>
                            <w:szCs w:val="20"/>
                            <w:lang w:eastAsia="pl-PL"/>
                          </w:rPr>
                        </w:pPr>
                        <w:r w:rsidRPr="00E824EB">
                          <w:rPr>
                            <w:rFonts w:eastAsia="Times New Roman" w:cs="Arial"/>
                            <w:sz w:val="20"/>
                            <w:szCs w:val="20"/>
                            <w:u w:val="single"/>
                            <w:lang w:eastAsia="pl-PL"/>
                          </w:rPr>
                          <w:t>w</w:t>
                        </w:r>
                        <w:r w:rsidRPr="00BA4E0B">
                          <w:rPr>
                            <w:rFonts w:eastAsia="Times New Roman" w:cs="Arial"/>
                            <w:sz w:val="20"/>
                            <w:szCs w:val="20"/>
                            <w:u w:val="single"/>
                            <w:lang w:eastAsia="pl-PL"/>
                          </w:rPr>
                          <w:t>ynik z działalności operacyjnej x 100%</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przychody netto ze sprzedaży   produktów                                           + przychody netto ze sprzedaży towarów                             i materiałów + pozostałe przychody operacyjne</w:t>
                        </w:r>
                      </w:p>
                    </w:tc>
                  </w:tr>
                </w:tbl>
                <w:p w14:paraId="7BEBC9C7"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1FA8D76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od 0,0% do 3,0 %                                             powyżej 3,0% do 5,0%                                                                                        powyżej 5,0%</w:t>
                  </w:r>
                </w:p>
              </w:tc>
              <w:tc>
                <w:tcPr>
                  <w:tcW w:w="851" w:type="dxa"/>
                  <w:tcBorders>
                    <w:top w:val="nil"/>
                    <w:left w:val="nil"/>
                    <w:bottom w:val="single" w:sz="4" w:space="0" w:color="auto"/>
                    <w:right w:val="single" w:sz="4" w:space="0" w:color="auto"/>
                  </w:tcBorders>
                  <w:shd w:val="clear" w:color="auto" w:fill="auto"/>
                  <w:vAlign w:val="center"/>
                  <w:hideMark/>
                </w:tcPr>
                <w:p w14:paraId="2B5D1517"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BA4E0B">
                    <w:rPr>
                      <w:rFonts w:eastAsia="Times New Roman" w:cs="Arial"/>
                      <w:b/>
                      <w:bCs/>
                      <w:sz w:val="20"/>
                      <w:szCs w:val="20"/>
                      <w:lang w:eastAsia="pl-PL"/>
                    </w:rPr>
                    <w:t>5</w:t>
                  </w:r>
                </w:p>
              </w:tc>
              <w:tc>
                <w:tcPr>
                  <w:tcW w:w="850" w:type="dxa"/>
                  <w:tcBorders>
                    <w:top w:val="nil"/>
                    <w:left w:val="nil"/>
                    <w:bottom w:val="single" w:sz="4" w:space="0" w:color="auto"/>
                    <w:right w:val="single" w:sz="4" w:space="0" w:color="auto"/>
                  </w:tcBorders>
                  <w:shd w:val="clear" w:color="auto" w:fill="auto"/>
                  <w:vAlign w:val="center"/>
                  <w:hideMark/>
                </w:tcPr>
                <w:p w14:paraId="2CFED871" w14:textId="64936AAB"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0,1 %</w:t>
                  </w:r>
                </w:p>
              </w:tc>
              <w:tc>
                <w:tcPr>
                  <w:tcW w:w="650" w:type="dxa"/>
                  <w:tcBorders>
                    <w:top w:val="nil"/>
                    <w:left w:val="nil"/>
                    <w:bottom w:val="single" w:sz="4" w:space="0" w:color="auto"/>
                    <w:right w:val="single" w:sz="4" w:space="0" w:color="auto"/>
                  </w:tcBorders>
                  <w:shd w:val="clear" w:color="000000" w:fill="FFFFFF"/>
                  <w:vAlign w:val="center"/>
                  <w:hideMark/>
                </w:tcPr>
                <w:p w14:paraId="47C22CA9" w14:textId="139761B8"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3</w:t>
                  </w:r>
                </w:p>
              </w:tc>
            </w:tr>
            <w:tr w:rsidR="00A828B5" w:rsidRPr="00E824EB" w14:paraId="255F1614" w14:textId="77777777" w:rsidTr="00A828B5">
              <w:trPr>
                <w:trHeight w:val="1035"/>
              </w:trPr>
              <w:tc>
                <w:tcPr>
                  <w:tcW w:w="1249" w:type="dxa"/>
                  <w:tcBorders>
                    <w:top w:val="nil"/>
                    <w:left w:val="single" w:sz="8" w:space="0" w:color="auto"/>
                    <w:bottom w:val="nil"/>
                    <w:right w:val="single" w:sz="4" w:space="0" w:color="auto"/>
                  </w:tcBorders>
                  <w:shd w:val="clear" w:color="auto" w:fill="auto"/>
                  <w:vAlign w:val="center"/>
                  <w:hideMark/>
                </w:tcPr>
                <w:p w14:paraId="271A256A"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Zyskowność aktywów</w:t>
                  </w:r>
                </w:p>
              </w:tc>
              <w:tc>
                <w:tcPr>
                  <w:tcW w:w="4352" w:type="dxa"/>
                  <w:tcBorders>
                    <w:top w:val="nil"/>
                    <w:left w:val="nil"/>
                    <w:bottom w:val="nil"/>
                    <w:right w:val="nil"/>
                  </w:tcBorders>
                  <w:shd w:val="clear" w:color="auto" w:fill="auto"/>
                  <w:noWrap/>
                  <w:vAlign w:val="bottom"/>
                  <w:hideMark/>
                </w:tcPr>
                <w:tbl>
                  <w:tblPr>
                    <w:tblpPr w:leftFromText="141" w:rightFromText="141" w:vertAnchor="text" w:horzAnchor="margin" w:tblpY="-266"/>
                    <w:tblOverlap w:val="never"/>
                    <w:tblW w:w="4282" w:type="dxa"/>
                    <w:tblCellSpacing w:w="0" w:type="dxa"/>
                    <w:tblLayout w:type="fixed"/>
                    <w:tblCellMar>
                      <w:left w:w="0" w:type="dxa"/>
                      <w:right w:w="0" w:type="dxa"/>
                    </w:tblCellMar>
                    <w:tblLook w:val="04A0" w:firstRow="1" w:lastRow="0" w:firstColumn="1" w:lastColumn="0" w:noHBand="0" w:noVBand="1"/>
                  </w:tblPr>
                  <w:tblGrid>
                    <w:gridCol w:w="4282"/>
                  </w:tblGrid>
                  <w:tr w:rsidR="00A828B5" w:rsidRPr="00BA4E0B" w14:paraId="053D513D" w14:textId="77777777" w:rsidTr="00A828B5">
                    <w:trPr>
                      <w:trHeight w:val="1035"/>
                      <w:tblCellSpacing w:w="0" w:type="dxa"/>
                    </w:trPr>
                    <w:tc>
                      <w:tcPr>
                        <w:tcW w:w="4282" w:type="dxa"/>
                        <w:tcBorders>
                          <w:top w:val="nil"/>
                          <w:left w:val="nil"/>
                          <w:bottom w:val="nil"/>
                          <w:right w:val="single" w:sz="4" w:space="0" w:color="auto"/>
                        </w:tcBorders>
                        <w:shd w:val="clear" w:color="auto" w:fill="auto"/>
                        <w:vAlign w:val="center"/>
                        <w:hideMark/>
                      </w:tcPr>
                      <w:p w14:paraId="311A0962" w14:textId="77777777" w:rsidR="00A828B5" w:rsidRPr="00E824EB" w:rsidRDefault="00A828B5" w:rsidP="004F02AF">
                        <w:pPr>
                          <w:spacing w:after="0" w:line="240" w:lineRule="auto"/>
                          <w:rPr>
                            <w:rFonts w:eastAsia="Times New Roman" w:cs="Arial"/>
                            <w:sz w:val="20"/>
                            <w:szCs w:val="20"/>
                            <w:lang w:eastAsia="pl-PL"/>
                          </w:rPr>
                        </w:pPr>
                        <w:r w:rsidRPr="00E824EB">
                          <w:rPr>
                            <w:rFonts w:eastAsia="Times New Roman" w:cs="Arial"/>
                            <w:sz w:val="20"/>
                            <w:szCs w:val="20"/>
                            <w:lang w:eastAsia="pl-PL"/>
                          </w:rPr>
                          <w:t xml:space="preserve">                           </w:t>
                        </w:r>
                        <w:r w:rsidRPr="00BA4E0B">
                          <w:rPr>
                            <w:rFonts w:eastAsia="Times New Roman" w:cs="Arial"/>
                            <w:sz w:val="20"/>
                            <w:szCs w:val="20"/>
                            <w:lang w:eastAsia="pl-PL"/>
                          </w:rPr>
                          <w:t>wynik netto  x 100%</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w:t>
                        </w:r>
                      </w:p>
                      <w:p w14:paraId="4EE6BF14" w14:textId="77777777" w:rsidR="00A828B5" w:rsidRPr="00BA4E0B" w:rsidRDefault="00A828B5" w:rsidP="004F02AF">
                        <w:pPr>
                          <w:spacing w:after="0" w:line="240" w:lineRule="auto"/>
                          <w:rPr>
                            <w:rFonts w:eastAsia="Times New Roman" w:cs="Arial"/>
                            <w:sz w:val="20"/>
                            <w:szCs w:val="20"/>
                            <w:lang w:eastAsia="pl-PL"/>
                          </w:rPr>
                        </w:pPr>
                        <w:r w:rsidRPr="00BA4E0B">
                          <w:rPr>
                            <w:rFonts w:eastAsia="Times New Roman" w:cs="Arial"/>
                            <w:sz w:val="20"/>
                            <w:szCs w:val="20"/>
                            <w:lang w:eastAsia="pl-PL"/>
                          </w:rPr>
                          <w:t xml:space="preserve">  </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Średni stan aktywów</w:t>
                        </w:r>
                      </w:p>
                    </w:tc>
                  </w:tr>
                </w:tbl>
                <w:p w14:paraId="1C624503" w14:textId="77777777" w:rsidR="00BA4E0B" w:rsidRPr="00BA4E0B" w:rsidRDefault="00BA4E0B" w:rsidP="00A828B5">
                  <w:pPr>
                    <w:spacing w:after="0" w:line="240" w:lineRule="auto"/>
                    <w:ind w:left="171"/>
                    <w:rPr>
                      <w:rFonts w:eastAsia="Times New Roman" w:cs="Arial"/>
                      <w:sz w:val="20"/>
                      <w:szCs w:val="20"/>
                      <w:lang w:eastAsia="pl-PL"/>
                    </w:rPr>
                  </w:pPr>
                  <w:r w:rsidRPr="00E824EB">
                    <w:rPr>
                      <w:rFonts w:eastAsia="Times New Roman" w:cs="Arial"/>
                      <w:noProof/>
                      <w:sz w:val="20"/>
                      <w:szCs w:val="20"/>
                      <w:lang w:eastAsia="pl-PL"/>
                    </w:rPr>
                    <w:drawing>
                      <wp:anchor distT="0" distB="0" distL="114300" distR="114300" simplePos="0" relativeHeight="251657728" behindDoc="0" locked="0" layoutInCell="1" allowOverlap="1" wp14:anchorId="6CB79F6C" wp14:editId="5B6BF19C">
                        <wp:simplePos x="0" y="0"/>
                        <wp:positionH relativeFrom="column">
                          <wp:posOffset>495300</wp:posOffset>
                        </wp:positionH>
                        <wp:positionV relativeFrom="paragraph">
                          <wp:posOffset>333375</wp:posOffset>
                        </wp:positionV>
                        <wp:extent cx="1485900" cy="28575"/>
                        <wp:effectExtent l="0" t="0" r="0" b="0"/>
                        <wp:wrapNone/>
                        <wp:docPr id="17" name="Łącznik prosty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276350" y="3057525"/>
                                  <a:ext cx="1466850" cy="1"/>
                                  <a:chOff x="1276350" y="3057525"/>
                                  <a:chExt cx="1466850" cy="1"/>
                                </a:xfrm>
                              </a:grpSpPr>
                              <a:cxnSp>
                                <a:nvCxnSpPr>
                                  <a:cNvPr id="14" name="Łącznik prosty 13"/>
                                  <a:cNvCxnSpPr/>
                                </a:nvCxnSpPr>
                                <a:spPr>
                                  <a:xfrm flipV="1">
                                    <a:off x="1352550" y="2933700"/>
                                    <a:ext cx="1466850" cy="1"/>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p w14:paraId="00FE523F"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nil"/>
                    <w:right w:val="single" w:sz="4" w:space="0" w:color="auto"/>
                  </w:tcBorders>
                  <w:shd w:val="clear" w:color="auto" w:fill="auto"/>
                  <w:vAlign w:val="center"/>
                  <w:hideMark/>
                </w:tcPr>
                <w:p w14:paraId="37A5D94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powyżej 0,0% do 2,0 %                                             powyżej 2,0% do 4,0%                                                                                        powyżej 4,0%</w:t>
                  </w:r>
                </w:p>
              </w:tc>
              <w:tc>
                <w:tcPr>
                  <w:tcW w:w="851" w:type="dxa"/>
                  <w:tcBorders>
                    <w:top w:val="nil"/>
                    <w:left w:val="nil"/>
                    <w:bottom w:val="nil"/>
                    <w:right w:val="single" w:sz="4" w:space="0" w:color="auto"/>
                  </w:tcBorders>
                  <w:shd w:val="clear" w:color="auto" w:fill="auto"/>
                  <w:vAlign w:val="center"/>
                  <w:hideMark/>
                </w:tcPr>
                <w:p w14:paraId="708E7BC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BA4E0B">
                    <w:rPr>
                      <w:rFonts w:eastAsia="Times New Roman" w:cs="Arial"/>
                      <w:b/>
                      <w:bCs/>
                      <w:sz w:val="20"/>
                      <w:szCs w:val="20"/>
                      <w:lang w:eastAsia="pl-PL"/>
                    </w:rPr>
                    <w:t>5</w:t>
                  </w:r>
                </w:p>
              </w:tc>
              <w:tc>
                <w:tcPr>
                  <w:tcW w:w="850" w:type="dxa"/>
                  <w:tcBorders>
                    <w:top w:val="nil"/>
                    <w:left w:val="nil"/>
                    <w:bottom w:val="nil"/>
                    <w:right w:val="single" w:sz="4" w:space="0" w:color="auto"/>
                  </w:tcBorders>
                  <w:shd w:val="clear" w:color="000000" w:fill="FFFFFF"/>
                  <w:vAlign w:val="center"/>
                  <w:hideMark/>
                </w:tcPr>
                <w:p w14:paraId="25302D15" w14:textId="7B3F26F2" w:rsidR="00BA4E0B" w:rsidRPr="00BA4E0B" w:rsidRDefault="001964B2" w:rsidP="007218DF">
                  <w:pPr>
                    <w:spacing w:after="0" w:line="240" w:lineRule="auto"/>
                    <w:rPr>
                      <w:rFonts w:eastAsia="Times New Roman" w:cs="Arial"/>
                      <w:b/>
                      <w:bCs/>
                      <w:color w:val="000000"/>
                      <w:lang w:eastAsia="pl-PL"/>
                    </w:rPr>
                  </w:pPr>
                  <w:r>
                    <w:rPr>
                      <w:rFonts w:eastAsia="Times New Roman" w:cs="Arial"/>
                      <w:b/>
                      <w:bCs/>
                      <w:color w:val="000000"/>
                      <w:lang w:eastAsia="pl-PL"/>
                    </w:rPr>
                    <w:t>0,1 %</w:t>
                  </w:r>
                </w:p>
              </w:tc>
              <w:tc>
                <w:tcPr>
                  <w:tcW w:w="650" w:type="dxa"/>
                  <w:tcBorders>
                    <w:top w:val="nil"/>
                    <w:left w:val="nil"/>
                    <w:bottom w:val="single" w:sz="4" w:space="0" w:color="auto"/>
                    <w:right w:val="single" w:sz="4" w:space="0" w:color="auto"/>
                  </w:tcBorders>
                  <w:shd w:val="clear" w:color="000000" w:fill="FFFFFF"/>
                  <w:vAlign w:val="center"/>
                  <w:hideMark/>
                </w:tcPr>
                <w:p w14:paraId="443E4EBA" w14:textId="18CFED22"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3</w:t>
                  </w:r>
                </w:p>
              </w:tc>
            </w:tr>
            <w:tr w:rsidR="00A828B5" w:rsidRPr="00E824EB" w14:paraId="0664A740" w14:textId="77777777" w:rsidTr="00A828B5">
              <w:trPr>
                <w:trHeight w:val="390"/>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4BDED54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ZYSKOWNOŚCI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3EA9FB9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1A2572B3"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15</w:t>
                  </w:r>
                </w:p>
              </w:tc>
              <w:tc>
                <w:tcPr>
                  <w:tcW w:w="850" w:type="dxa"/>
                  <w:tcBorders>
                    <w:top w:val="single" w:sz="8" w:space="0" w:color="auto"/>
                    <w:left w:val="nil"/>
                    <w:bottom w:val="single" w:sz="8" w:space="0" w:color="auto"/>
                    <w:right w:val="nil"/>
                  </w:tcBorders>
                  <w:shd w:val="clear" w:color="000000" w:fill="FF9900"/>
                  <w:vAlign w:val="center"/>
                  <w:hideMark/>
                </w:tcPr>
                <w:p w14:paraId="29AE0243"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139997E3" w14:textId="66135E45"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9</w:t>
                  </w:r>
                </w:p>
              </w:tc>
            </w:tr>
            <w:tr w:rsidR="00A828B5" w:rsidRPr="00E824EB" w14:paraId="4D2D7C1E" w14:textId="77777777" w:rsidTr="00A828B5">
              <w:trPr>
                <w:trHeight w:val="75"/>
              </w:trPr>
              <w:tc>
                <w:tcPr>
                  <w:tcW w:w="1249" w:type="dxa"/>
                  <w:tcBorders>
                    <w:top w:val="nil"/>
                    <w:left w:val="nil"/>
                    <w:bottom w:val="nil"/>
                    <w:right w:val="nil"/>
                  </w:tcBorders>
                  <w:shd w:val="clear" w:color="000000" w:fill="FFFFFF"/>
                  <w:noWrap/>
                  <w:vAlign w:val="center"/>
                  <w:hideMark/>
                </w:tcPr>
                <w:p w14:paraId="5E70F62C"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4352" w:type="dxa"/>
                  <w:tcBorders>
                    <w:top w:val="nil"/>
                    <w:left w:val="nil"/>
                    <w:bottom w:val="nil"/>
                    <w:right w:val="nil"/>
                  </w:tcBorders>
                  <w:shd w:val="clear" w:color="000000" w:fill="FFFFFF"/>
                  <w:noWrap/>
                  <w:vAlign w:val="center"/>
                  <w:hideMark/>
                </w:tcPr>
                <w:p w14:paraId="2EA0F17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1984" w:type="dxa"/>
                  <w:tcBorders>
                    <w:top w:val="nil"/>
                    <w:left w:val="nil"/>
                    <w:bottom w:val="nil"/>
                    <w:right w:val="nil"/>
                  </w:tcBorders>
                  <w:shd w:val="clear" w:color="000000" w:fill="FFFFFF"/>
                  <w:vAlign w:val="center"/>
                  <w:hideMark/>
                </w:tcPr>
                <w:p w14:paraId="6F5C494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nil"/>
                    <w:left w:val="nil"/>
                    <w:bottom w:val="nil"/>
                    <w:right w:val="nil"/>
                  </w:tcBorders>
                  <w:shd w:val="clear" w:color="000000" w:fill="FFFFFF"/>
                  <w:noWrap/>
                  <w:vAlign w:val="center"/>
                  <w:hideMark/>
                </w:tcPr>
                <w:p w14:paraId="42733973"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 </w:t>
                  </w:r>
                </w:p>
              </w:tc>
              <w:tc>
                <w:tcPr>
                  <w:tcW w:w="850" w:type="dxa"/>
                  <w:tcBorders>
                    <w:top w:val="nil"/>
                    <w:left w:val="nil"/>
                    <w:bottom w:val="nil"/>
                    <w:right w:val="nil"/>
                  </w:tcBorders>
                  <w:shd w:val="clear" w:color="000000" w:fill="FFFFFF"/>
                  <w:vAlign w:val="center"/>
                  <w:hideMark/>
                </w:tcPr>
                <w:p w14:paraId="596FCDE9"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 </w:t>
                  </w:r>
                </w:p>
              </w:tc>
              <w:tc>
                <w:tcPr>
                  <w:tcW w:w="650" w:type="dxa"/>
                  <w:tcBorders>
                    <w:top w:val="nil"/>
                    <w:left w:val="nil"/>
                    <w:bottom w:val="nil"/>
                    <w:right w:val="nil"/>
                  </w:tcBorders>
                  <w:shd w:val="clear" w:color="000000" w:fill="FFFFFF"/>
                  <w:vAlign w:val="center"/>
                  <w:hideMark/>
                </w:tcPr>
                <w:p w14:paraId="313B5B62"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 </w:t>
                  </w:r>
                </w:p>
              </w:tc>
            </w:tr>
            <w:tr w:rsidR="00A828B5" w:rsidRPr="00E824EB" w14:paraId="433400E5" w14:textId="77777777" w:rsidTr="00A828B5">
              <w:trPr>
                <w:trHeight w:val="315"/>
              </w:trPr>
              <w:tc>
                <w:tcPr>
                  <w:tcW w:w="5601" w:type="dxa"/>
                  <w:gridSpan w:val="2"/>
                  <w:tcBorders>
                    <w:top w:val="single" w:sz="8" w:space="0" w:color="auto"/>
                    <w:left w:val="single" w:sz="8" w:space="0" w:color="auto"/>
                    <w:bottom w:val="single" w:sz="4" w:space="0" w:color="auto"/>
                    <w:right w:val="nil"/>
                  </w:tcBorders>
                  <w:shd w:val="clear" w:color="000000" w:fill="969696"/>
                  <w:noWrap/>
                  <w:vAlign w:val="center"/>
                  <w:hideMark/>
                </w:tcPr>
                <w:p w14:paraId="64FF699B"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II.     WSKAŹNIKI PŁYNNOŚCI</w:t>
                  </w:r>
                </w:p>
              </w:tc>
              <w:tc>
                <w:tcPr>
                  <w:tcW w:w="1984" w:type="dxa"/>
                  <w:tcBorders>
                    <w:top w:val="single" w:sz="8" w:space="0" w:color="auto"/>
                    <w:left w:val="nil"/>
                    <w:bottom w:val="single" w:sz="4" w:space="0" w:color="auto"/>
                    <w:right w:val="nil"/>
                  </w:tcBorders>
                  <w:shd w:val="clear" w:color="000000" w:fill="969696"/>
                  <w:noWrap/>
                  <w:vAlign w:val="center"/>
                  <w:hideMark/>
                </w:tcPr>
                <w:p w14:paraId="35834FE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single" w:sz="8" w:space="0" w:color="auto"/>
                    <w:left w:val="nil"/>
                    <w:bottom w:val="single" w:sz="4" w:space="0" w:color="auto"/>
                    <w:right w:val="nil"/>
                  </w:tcBorders>
                  <w:shd w:val="clear" w:color="000000" w:fill="969696"/>
                  <w:noWrap/>
                  <w:vAlign w:val="center"/>
                  <w:hideMark/>
                </w:tcPr>
                <w:p w14:paraId="099E112A"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single" w:sz="8" w:space="0" w:color="auto"/>
                    <w:left w:val="nil"/>
                    <w:bottom w:val="single" w:sz="4" w:space="0" w:color="auto"/>
                    <w:right w:val="nil"/>
                  </w:tcBorders>
                  <w:shd w:val="clear" w:color="000000" w:fill="969696"/>
                  <w:noWrap/>
                  <w:vAlign w:val="center"/>
                  <w:hideMark/>
                </w:tcPr>
                <w:p w14:paraId="1005387A"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single" w:sz="8" w:space="0" w:color="auto"/>
                    <w:left w:val="nil"/>
                    <w:bottom w:val="single" w:sz="4" w:space="0" w:color="auto"/>
                    <w:right w:val="single" w:sz="8" w:space="0" w:color="auto"/>
                  </w:tcBorders>
                  <w:shd w:val="clear" w:color="000000" w:fill="969696"/>
                  <w:noWrap/>
                  <w:vAlign w:val="center"/>
                  <w:hideMark/>
                </w:tcPr>
                <w:p w14:paraId="335446FC"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A828B5" w:rsidRPr="00E824EB" w14:paraId="6B812273" w14:textId="77777777" w:rsidTr="00A828B5">
              <w:trPr>
                <w:trHeight w:val="210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D1338B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Płynności bieżącej</w:t>
                  </w:r>
                </w:p>
              </w:tc>
              <w:tc>
                <w:tcPr>
                  <w:tcW w:w="4352" w:type="dxa"/>
                  <w:tcBorders>
                    <w:top w:val="nil"/>
                    <w:left w:val="nil"/>
                    <w:bottom w:val="nil"/>
                    <w:right w:val="nil"/>
                  </w:tcBorders>
                  <w:shd w:val="clear" w:color="auto" w:fill="auto"/>
                  <w:noWrap/>
                  <w:vAlign w:val="bottom"/>
                  <w:hideMark/>
                </w:tcPr>
                <w:p w14:paraId="2574ABEA"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3450A7DD" w14:textId="77777777" w:rsidTr="00A828B5">
                    <w:trPr>
                      <w:trHeight w:val="210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07F3F026" w14:textId="77777777" w:rsidR="00BA4E0B" w:rsidRPr="00BA4E0B" w:rsidRDefault="00BA4E0B" w:rsidP="00A828B5">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aktywa obrotowe - należności krótkoterminowe                       z tytułu dostaw i usług, o okresie spłaty powyżej 12 miesięcy - krótkoterminowe rozliczenia </w:t>
                        </w:r>
                        <w:r w:rsidRPr="00BA4E0B">
                          <w:rPr>
                            <w:rFonts w:eastAsia="Times New Roman" w:cs="Arial"/>
                            <w:sz w:val="20"/>
                            <w:szCs w:val="20"/>
                            <w:u w:val="single"/>
                            <w:lang w:eastAsia="pl-PL"/>
                          </w:rPr>
                          <w:t>międzyokresowe (czynne</w:t>
                        </w:r>
                        <w:r w:rsidRPr="00BA4E0B">
                          <w:rPr>
                            <w:rFonts w:eastAsia="Times New Roman" w:cs="Arial"/>
                            <w:sz w:val="20"/>
                            <w:szCs w:val="20"/>
                            <w:lang w:eastAsia="pl-PL"/>
                          </w:rPr>
                          <w:t>)                                                                                                               zobowiązania krótkoterminowe - zobowiązania                    z tytułu dostaw i usług, o okresie wymagalności powyżej 12  miesięcy + rezerwy na zobowiązania krótkoterminowe</w:t>
                        </w:r>
                      </w:p>
                    </w:tc>
                  </w:tr>
                </w:tbl>
                <w:p w14:paraId="15449CC2"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hideMark/>
                </w:tcPr>
                <w:p w14:paraId="043E7F4B"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0,6                                     od 0,60 do 1,00                              powyżej 1,00 do 1,50                                             powyżej 1,5 do 3,00                                                                                        powyżej 3,00 lub jeżeli zobowiązania krótkoterminowe = 0 zł</w:t>
                  </w:r>
                </w:p>
              </w:tc>
              <w:tc>
                <w:tcPr>
                  <w:tcW w:w="851" w:type="dxa"/>
                  <w:tcBorders>
                    <w:top w:val="nil"/>
                    <w:left w:val="nil"/>
                    <w:bottom w:val="single" w:sz="4" w:space="0" w:color="auto"/>
                    <w:right w:val="single" w:sz="4" w:space="0" w:color="auto"/>
                  </w:tcBorders>
                  <w:shd w:val="clear" w:color="auto" w:fill="auto"/>
                  <w:hideMark/>
                </w:tcPr>
                <w:p w14:paraId="6CA6184A"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0                          4                                                    8                             </w:t>
                  </w:r>
                  <w:r w:rsidRPr="00BA4E0B">
                    <w:rPr>
                      <w:rFonts w:eastAsia="Times New Roman" w:cs="Arial"/>
                      <w:b/>
                      <w:bCs/>
                      <w:sz w:val="20"/>
                      <w:szCs w:val="20"/>
                      <w:lang w:eastAsia="pl-PL"/>
                    </w:rPr>
                    <w:t xml:space="preserve">12  </w:t>
                  </w:r>
                  <w:r w:rsidRPr="00BA4E0B">
                    <w:rPr>
                      <w:rFonts w:eastAsia="Times New Roman" w:cs="Arial"/>
                      <w:sz w:val="20"/>
                      <w:szCs w:val="20"/>
                      <w:lang w:eastAsia="pl-PL"/>
                    </w:rPr>
                    <w:t xml:space="preserve">                                                                  10</w:t>
                  </w:r>
                </w:p>
              </w:tc>
              <w:tc>
                <w:tcPr>
                  <w:tcW w:w="850" w:type="dxa"/>
                  <w:tcBorders>
                    <w:top w:val="nil"/>
                    <w:left w:val="nil"/>
                    <w:bottom w:val="single" w:sz="4" w:space="0" w:color="auto"/>
                    <w:right w:val="single" w:sz="4" w:space="0" w:color="auto"/>
                  </w:tcBorders>
                  <w:shd w:val="clear" w:color="auto" w:fill="auto"/>
                  <w:vAlign w:val="center"/>
                  <w:hideMark/>
                </w:tcPr>
                <w:p w14:paraId="3AFEC9FE" w14:textId="6AEFB1D9" w:rsidR="00BA4E0B" w:rsidRPr="00BA4E0B" w:rsidRDefault="001964B2" w:rsidP="001964B2">
                  <w:pPr>
                    <w:spacing w:after="0" w:line="240" w:lineRule="auto"/>
                    <w:rPr>
                      <w:rFonts w:eastAsia="Times New Roman" w:cs="Arial"/>
                      <w:b/>
                      <w:bCs/>
                      <w:lang w:eastAsia="pl-PL"/>
                    </w:rPr>
                  </w:pPr>
                  <w:r>
                    <w:rPr>
                      <w:rFonts w:eastAsia="Times New Roman" w:cs="Arial"/>
                      <w:b/>
                      <w:bCs/>
                      <w:lang w:eastAsia="pl-PL"/>
                    </w:rPr>
                    <w:t>1,02</w:t>
                  </w:r>
                </w:p>
              </w:tc>
              <w:tc>
                <w:tcPr>
                  <w:tcW w:w="650" w:type="dxa"/>
                  <w:tcBorders>
                    <w:top w:val="nil"/>
                    <w:left w:val="nil"/>
                    <w:bottom w:val="single" w:sz="4" w:space="0" w:color="auto"/>
                    <w:right w:val="single" w:sz="4" w:space="0" w:color="auto"/>
                  </w:tcBorders>
                  <w:shd w:val="clear" w:color="000000" w:fill="FFFFFF"/>
                  <w:vAlign w:val="center"/>
                  <w:hideMark/>
                </w:tcPr>
                <w:p w14:paraId="5B97D988" w14:textId="36D2B96A"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8</w:t>
                  </w:r>
                </w:p>
              </w:tc>
            </w:tr>
            <w:tr w:rsidR="00A828B5" w:rsidRPr="00E824EB" w14:paraId="76CD742B" w14:textId="77777777" w:rsidTr="00375513">
              <w:trPr>
                <w:trHeight w:val="2148"/>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5413932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Płynności szybkiej</w:t>
                  </w:r>
                </w:p>
              </w:tc>
              <w:tc>
                <w:tcPr>
                  <w:tcW w:w="4352" w:type="dxa"/>
                  <w:tcBorders>
                    <w:top w:val="nil"/>
                    <w:left w:val="nil"/>
                    <w:bottom w:val="nil"/>
                    <w:right w:val="nil"/>
                  </w:tcBorders>
                  <w:shd w:val="clear" w:color="auto" w:fill="auto"/>
                  <w:noWrap/>
                  <w:vAlign w:val="bottom"/>
                  <w:hideMark/>
                </w:tcPr>
                <w:p w14:paraId="0E0054D9"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1A8EC3B1" w14:textId="77777777" w:rsidTr="00375513">
                    <w:trPr>
                      <w:trHeight w:val="1920"/>
                      <w:tblCellSpacing w:w="0" w:type="dxa"/>
                    </w:trPr>
                    <w:tc>
                      <w:tcPr>
                        <w:tcW w:w="4282" w:type="dxa"/>
                        <w:tcBorders>
                          <w:top w:val="nil"/>
                          <w:left w:val="nil"/>
                          <w:bottom w:val="single" w:sz="4" w:space="0" w:color="auto"/>
                          <w:right w:val="single" w:sz="4" w:space="0" w:color="auto"/>
                        </w:tcBorders>
                        <w:shd w:val="clear" w:color="000000" w:fill="FFFFFF"/>
                        <w:vAlign w:val="center"/>
                        <w:hideMark/>
                      </w:tcPr>
                      <w:p w14:paraId="3DC3C5F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aktywa obrotowe - należności krótkoterminowe                          z tytułu dostaw i usług, o okresie spłaty powyżej 12 miesięcy - krótkoterminowe rozliczenia </w:t>
                        </w:r>
                        <w:r w:rsidRPr="00BA4E0B">
                          <w:rPr>
                            <w:rFonts w:eastAsia="Times New Roman" w:cs="Arial"/>
                            <w:sz w:val="20"/>
                            <w:szCs w:val="20"/>
                            <w:u w:val="single"/>
                            <w:lang w:eastAsia="pl-PL"/>
                          </w:rPr>
                          <w:t>międzyokresowe (czynne) - zapasy</w:t>
                        </w:r>
                        <w:r w:rsidRPr="00BA4E0B">
                          <w:rPr>
                            <w:rFonts w:eastAsia="Times New Roman" w:cs="Arial"/>
                            <w:sz w:val="20"/>
                            <w:szCs w:val="20"/>
                            <w:lang w:eastAsia="pl-PL"/>
                          </w:rPr>
                          <w:t xml:space="preserve">                                            zobowiązania krótkoterminowe - zobowiązania                               z tytułu dostaw i usług, o okresie wymagalności powyżej 12 miesięcy + rezerwy na zobowiązania krótkoterminowe</w:t>
                        </w:r>
                      </w:p>
                    </w:tc>
                  </w:tr>
                </w:tbl>
                <w:p w14:paraId="71F615CB"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000000" w:fill="FFFFFF"/>
                  <w:hideMark/>
                </w:tcPr>
                <w:p w14:paraId="08AF0B4E"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0,50                                    powyżej 0,50 do 1,00                                             powyżej 1,00 do 2,50                                                                                       powyżej 2,50 lub jeżeli zobowiązania krótkoterminowe = 0 zł</w:t>
                  </w:r>
                </w:p>
              </w:tc>
              <w:tc>
                <w:tcPr>
                  <w:tcW w:w="851" w:type="dxa"/>
                  <w:tcBorders>
                    <w:top w:val="nil"/>
                    <w:left w:val="nil"/>
                    <w:bottom w:val="single" w:sz="4" w:space="0" w:color="auto"/>
                    <w:right w:val="single" w:sz="4" w:space="0" w:color="auto"/>
                  </w:tcBorders>
                  <w:shd w:val="clear" w:color="auto" w:fill="auto"/>
                  <w:hideMark/>
                </w:tcPr>
                <w:p w14:paraId="3E515AD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0                          8                             </w:t>
                  </w:r>
                  <w:r w:rsidRPr="00BA4E0B">
                    <w:rPr>
                      <w:rFonts w:eastAsia="Times New Roman" w:cs="Arial"/>
                      <w:b/>
                      <w:bCs/>
                      <w:sz w:val="20"/>
                      <w:szCs w:val="20"/>
                      <w:lang w:eastAsia="pl-PL"/>
                    </w:rPr>
                    <w:t xml:space="preserve">13 </w:t>
                  </w:r>
                  <w:r w:rsidRPr="00BA4E0B">
                    <w:rPr>
                      <w:rFonts w:eastAsia="Times New Roman" w:cs="Arial"/>
                      <w:sz w:val="20"/>
                      <w:szCs w:val="20"/>
                      <w:lang w:eastAsia="pl-PL"/>
                    </w:rPr>
                    <w:t xml:space="preserve">                                                                   10</w:t>
                  </w:r>
                </w:p>
              </w:tc>
              <w:tc>
                <w:tcPr>
                  <w:tcW w:w="850" w:type="dxa"/>
                  <w:tcBorders>
                    <w:top w:val="nil"/>
                    <w:left w:val="nil"/>
                    <w:bottom w:val="single" w:sz="4" w:space="0" w:color="auto"/>
                    <w:right w:val="single" w:sz="4" w:space="0" w:color="auto"/>
                  </w:tcBorders>
                  <w:shd w:val="clear" w:color="auto" w:fill="auto"/>
                  <w:vAlign w:val="center"/>
                  <w:hideMark/>
                </w:tcPr>
                <w:p w14:paraId="5217E4F1" w14:textId="3894F7E3"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0,</w:t>
                  </w:r>
                  <w:r w:rsidR="001964B2">
                    <w:rPr>
                      <w:rFonts w:eastAsia="Times New Roman" w:cs="Arial"/>
                      <w:b/>
                      <w:bCs/>
                      <w:lang w:eastAsia="pl-PL"/>
                    </w:rPr>
                    <w:t>91</w:t>
                  </w:r>
                </w:p>
              </w:tc>
              <w:tc>
                <w:tcPr>
                  <w:tcW w:w="650" w:type="dxa"/>
                  <w:tcBorders>
                    <w:top w:val="nil"/>
                    <w:left w:val="nil"/>
                    <w:bottom w:val="single" w:sz="4" w:space="0" w:color="auto"/>
                    <w:right w:val="single" w:sz="4" w:space="0" w:color="auto"/>
                  </w:tcBorders>
                  <w:shd w:val="clear" w:color="000000" w:fill="FFFFFF"/>
                  <w:vAlign w:val="center"/>
                  <w:hideMark/>
                </w:tcPr>
                <w:p w14:paraId="79B6D9C6"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8</w:t>
                  </w:r>
                </w:p>
              </w:tc>
            </w:tr>
            <w:tr w:rsidR="00A828B5" w:rsidRPr="00E824EB" w14:paraId="57E1C707" w14:textId="77777777" w:rsidTr="00A828B5">
              <w:trPr>
                <w:trHeight w:val="375"/>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42EE7D8C"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PŁYNNOŚCI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52533B4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5E16D1D6"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25</w:t>
                  </w:r>
                </w:p>
              </w:tc>
              <w:tc>
                <w:tcPr>
                  <w:tcW w:w="850" w:type="dxa"/>
                  <w:tcBorders>
                    <w:top w:val="single" w:sz="8" w:space="0" w:color="auto"/>
                    <w:left w:val="nil"/>
                    <w:bottom w:val="single" w:sz="8" w:space="0" w:color="auto"/>
                    <w:right w:val="nil"/>
                  </w:tcBorders>
                  <w:shd w:val="clear" w:color="000000" w:fill="FF9900"/>
                  <w:vAlign w:val="center"/>
                  <w:hideMark/>
                </w:tcPr>
                <w:p w14:paraId="2C7CE8EB"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4F00419B" w14:textId="204FF7EA" w:rsidR="00BA4E0B" w:rsidRPr="00BA4E0B" w:rsidRDefault="00F3414F" w:rsidP="00BA4E0B">
                  <w:pPr>
                    <w:spacing w:after="0" w:line="240" w:lineRule="auto"/>
                    <w:jc w:val="center"/>
                    <w:rPr>
                      <w:rFonts w:eastAsia="Times New Roman" w:cs="Arial"/>
                      <w:b/>
                      <w:bCs/>
                      <w:lang w:eastAsia="pl-PL"/>
                    </w:rPr>
                  </w:pPr>
                  <w:r>
                    <w:rPr>
                      <w:rFonts w:eastAsia="Times New Roman" w:cs="Arial"/>
                      <w:b/>
                      <w:bCs/>
                      <w:lang w:eastAsia="pl-PL"/>
                    </w:rPr>
                    <w:t>1</w:t>
                  </w:r>
                  <w:r w:rsidR="001964B2">
                    <w:rPr>
                      <w:rFonts w:eastAsia="Times New Roman" w:cs="Arial"/>
                      <w:b/>
                      <w:bCs/>
                      <w:lang w:eastAsia="pl-PL"/>
                    </w:rPr>
                    <w:t>6</w:t>
                  </w:r>
                </w:p>
              </w:tc>
            </w:tr>
            <w:tr w:rsidR="00A828B5" w:rsidRPr="00E824EB" w14:paraId="6A4616F5" w14:textId="77777777" w:rsidTr="00A828B5">
              <w:trPr>
                <w:trHeight w:val="135"/>
              </w:trPr>
              <w:tc>
                <w:tcPr>
                  <w:tcW w:w="1249" w:type="dxa"/>
                  <w:tcBorders>
                    <w:top w:val="single" w:sz="4" w:space="0" w:color="auto"/>
                    <w:left w:val="nil"/>
                    <w:bottom w:val="single" w:sz="4" w:space="0" w:color="auto"/>
                    <w:right w:val="nil"/>
                  </w:tcBorders>
                  <w:shd w:val="clear" w:color="auto" w:fill="auto"/>
                  <w:vAlign w:val="center"/>
                  <w:hideMark/>
                </w:tcPr>
                <w:p w14:paraId="0B9D2AB8"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c>
                <w:tcPr>
                  <w:tcW w:w="4352" w:type="dxa"/>
                  <w:tcBorders>
                    <w:top w:val="single" w:sz="4" w:space="0" w:color="auto"/>
                    <w:left w:val="nil"/>
                    <w:bottom w:val="single" w:sz="4" w:space="0" w:color="auto"/>
                    <w:right w:val="nil"/>
                  </w:tcBorders>
                  <w:shd w:val="clear" w:color="000000" w:fill="FFFFFF"/>
                  <w:vAlign w:val="center"/>
                  <w:hideMark/>
                </w:tcPr>
                <w:p w14:paraId="277C79C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single" w:sz="4" w:space="0" w:color="auto"/>
                    <w:right w:val="nil"/>
                  </w:tcBorders>
                  <w:shd w:val="clear" w:color="000000" w:fill="FFFFFF"/>
                  <w:hideMark/>
                </w:tcPr>
                <w:p w14:paraId="6D58DC8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single" w:sz="4" w:space="0" w:color="auto"/>
                    <w:right w:val="nil"/>
                  </w:tcBorders>
                  <w:shd w:val="clear" w:color="auto" w:fill="auto"/>
                  <w:hideMark/>
                </w:tcPr>
                <w:p w14:paraId="0511E07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single" w:sz="4" w:space="0" w:color="auto"/>
                    <w:right w:val="nil"/>
                  </w:tcBorders>
                  <w:shd w:val="clear" w:color="auto" w:fill="auto"/>
                  <w:vAlign w:val="center"/>
                  <w:hideMark/>
                </w:tcPr>
                <w:p w14:paraId="19DD2DF1"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single" w:sz="4" w:space="0" w:color="auto"/>
                    <w:right w:val="single" w:sz="8" w:space="0" w:color="auto"/>
                  </w:tcBorders>
                  <w:shd w:val="clear" w:color="000000" w:fill="FFFFFF"/>
                  <w:vAlign w:val="center"/>
                  <w:hideMark/>
                </w:tcPr>
                <w:p w14:paraId="553841ED"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74F8766B" w14:textId="77777777" w:rsidTr="00BA4E0B">
              <w:trPr>
                <w:trHeight w:val="375"/>
              </w:trPr>
              <w:tc>
                <w:tcPr>
                  <w:tcW w:w="9936" w:type="dxa"/>
                  <w:gridSpan w:val="6"/>
                  <w:tcBorders>
                    <w:top w:val="single" w:sz="4" w:space="0" w:color="auto"/>
                    <w:left w:val="nil"/>
                    <w:bottom w:val="single" w:sz="4" w:space="0" w:color="auto"/>
                    <w:right w:val="single" w:sz="8" w:space="0" w:color="000000"/>
                  </w:tcBorders>
                  <w:shd w:val="clear" w:color="000000" w:fill="969696"/>
                  <w:noWrap/>
                  <w:vAlign w:val="center"/>
                  <w:hideMark/>
                </w:tcPr>
                <w:p w14:paraId="1DEBAA7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III.     WSKAŹNIKI EFEKTYWNOŚCI</w:t>
                  </w:r>
                </w:p>
              </w:tc>
            </w:tr>
            <w:tr w:rsidR="00BA4E0B" w:rsidRPr="00BA4E0B" w14:paraId="4E8AEF3C" w14:textId="77777777" w:rsidTr="00375513">
              <w:trPr>
                <w:trHeight w:val="1259"/>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7AE3CE1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Rotacji należności                             (w dniach)</w:t>
                  </w:r>
                </w:p>
              </w:tc>
              <w:tc>
                <w:tcPr>
                  <w:tcW w:w="4352" w:type="dxa"/>
                  <w:tcBorders>
                    <w:top w:val="nil"/>
                    <w:left w:val="nil"/>
                    <w:bottom w:val="nil"/>
                    <w:right w:val="nil"/>
                  </w:tcBorders>
                  <w:shd w:val="clear" w:color="auto" w:fill="auto"/>
                  <w:noWrap/>
                  <w:vAlign w:val="bottom"/>
                  <w:hideMark/>
                </w:tcPr>
                <w:p w14:paraId="106760CB"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341BF71A" w14:textId="77777777" w:rsidTr="00375513">
                    <w:trPr>
                      <w:trHeight w:val="1148"/>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68F90404"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średni stan należności z tytułu dostaw i usług                              </w:t>
                        </w:r>
                        <w:r w:rsidRPr="00BA4E0B">
                          <w:rPr>
                            <w:rFonts w:eastAsia="Times New Roman" w:cs="Arial"/>
                            <w:sz w:val="20"/>
                            <w:szCs w:val="20"/>
                            <w:u w:val="single"/>
                            <w:lang w:eastAsia="pl-PL"/>
                          </w:rPr>
                          <w:t>x liczba dni  w okresie (365</w:t>
                        </w:r>
                        <w:r w:rsidRPr="00BA4E0B">
                          <w:rPr>
                            <w:rFonts w:eastAsia="Times New Roman" w:cs="Arial"/>
                            <w:sz w:val="20"/>
                            <w:szCs w:val="20"/>
                            <w:lang w:eastAsia="pl-PL"/>
                          </w:rPr>
                          <w:t xml:space="preserve">)                                           przychody netto ze sprzedaży produktów                                      + przychody netto ze sprzedaży towarów                                  i materiałów </w:t>
                        </w:r>
                      </w:p>
                    </w:tc>
                  </w:tr>
                </w:tbl>
                <w:p w14:paraId="2FE37EA2"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457DCCB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45 dni                                   od 45 dni do 60 dni                                             od 61 dni do 90 dni                                                                                       powyżej 90 dni</w:t>
                  </w:r>
                </w:p>
              </w:tc>
              <w:tc>
                <w:tcPr>
                  <w:tcW w:w="851" w:type="dxa"/>
                  <w:tcBorders>
                    <w:top w:val="nil"/>
                    <w:left w:val="nil"/>
                    <w:bottom w:val="single" w:sz="4" w:space="0" w:color="auto"/>
                    <w:right w:val="single" w:sz="4" w:space="0" w:color="auto"/>
                  </w:tcBorders>
                  <w:shd w:val="clear" w:color="auto" w:fill="auto"/>
                  <w:vAlign w:val="center"/>
                  <w:hideMark/>
                </w:tcPr>
                <w:p w14:paraId="062272DA"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b/>
                      <w:bCs/>
                      <w:sz w:val="20"/>
                      <w:szCs w:val="20"/>
                      <w:lang w:eastAsia="pl-PL"/>
                    </w:rPr>
                    <w:t xml:space="preserve">3 </w:t>
                  </w:r>
                  <w:r w:rsidRPr="00BA4E0B">
                    <w:rPr>
                      <w:rFonts w:eastAsia="Times New Roman" w:cs="Arial"/>
                      <w:sz w:val="20"/>
                      <w:szCs w:val="20"/>
                      <w:lang w:eastAsia="pl-PL"/>
                    </w:rPr>
                    <w:t xml:space="preserve">                         2                             1                                                                    0</w:t>
                  </w:r>
                </w:p>
              </w:tc>
              <w:tc>
                <w:tcPr>
                  <w:tcW w:w="850" w:type="dxa"/>
                  <w:tcBorders>
                    <w:top w:val="nil"/>
                    <w:left w:val="nil"/>
                    <w:bottom w:val="single" w:sz="4" w:space="0" w:color="auto"/>
                    <w:right w:val="single" w:sz="4" w:space="0" w:color="auto"/>
                  </w:tcBorders>
                  <w:shd w:val="clear" w:color="auto" w:fill="auto"/>
                  <w:vAlign w:val="center"/>
                  <w:hideMark/>
                </w:tcPr>
                <w:p w14:paraId="729CD2C9" w14:textId="130EB5E6"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2</w:t>
                  </w:r>
                  <w:r w:rsidR="001964B2">
                    <w:rPr>
                      <w:rFonts w:eastAsia="Times New Roman" w:cs="Arial"/>
                      <w:b/>
                      <w:bCs/>
                      <w:lang w:eastAsia="pl-PL"/>
                    </w:rPr>
                    <w:t>1,5</w:t>
                  </w:r>
                </w:p>
              </w:tc>
              <w:tc>
                <w:tcPr>
                  <w:tcW w:w="650" w:type="dxa"/>
                  <w:tcBorders>
                    <w:top w:val="nil"/>
                    <w:left w:val="nil"/>
                    <w:bottom w:val="single" w:sz="4" w:space="0" w:color="auto"/>
                    <w:right w:val="single" w:sz="4" w:space="0" w:color="auto"/>
                  </w:tcBorders>
                  <w:shd w:val="clear" w:color="000000" w:fill="FFFFFF"/>
                  <w:vAlign w:val="center"/>
                  <w:hideMark/>
                </w:tcPr>
                <w:p w14:paraId="054F4EB3"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3</w:t>
                  </w:r>
                </w:p>
              </w:tc>
            </w:tr>
            <w:tr w:rsidR="00BA4E0B" w:rsidRPr="00BA4E0B" w14:paraId="47DF4137" w14:textId="77777777" w:rsidTr="00375513">
              <w:trPr>
                <w:trHeight w:val="129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4308B234"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lastRenderedPageBreak/>
                    <w:t xml:space="preserve">Rotacji zobowiązań (w dniach) </w:t>
                  </w:r>
                </w:p>
              </w:tc>
              <w:tc>
                <w:tcPr>
                  <w:tcW w:w="4352" w:type="dxa"/>
                  <w:tcBorders>
                    <w:top w:val="nil"/>
                    <w:left w:val="nil"/>
                    <w:bottom w:val="nil"/>
                    <w:right w:val="nil"/>
                  </w:tcBorders>
                  <w:shd w:val="clear" w:color="auto" w:fill="auto"/>
                  <w:noWrap/>
                  <w:vAlign w:val="bottom"/>
                  <w:hideMark/>
                </w:tcPr>
                <w:p w14:paraId="3FA953D3"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01C8D44" w14:textId="77777777" w:rsidTr="00375513">
                    <w:trPr>
                      <w:trHeight w:val="129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5E01A4C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średni stan zobowiązań z tytułu dostaw i usług                       </w:t>
                        </w:r>
                        <w:r w:rsidRPr="00BA4E0B">
                          <w:rPr>
                            <w:rFonts w:eastAsia="Times New Roman" w:cs="Arial"/>
                            <w:sz w:val="20"/>
                            <w:szCs w:val="20"/>
                            <w:u w:val="single"/>
                            <w:lang w:eastAsia="pl-PL"/>
                          </w:rPr>
                          <w:t>x liczba dni w okresie (365</w:t>
                        </w:r>
                        <w:r w:rsidRPr="00BA4E0B">
                          <w:rPr>
                            <w:rFonts w:eastAsia="Times New Roman" w:cs="Arial"/>
                            <w:sz w:val="20"/>
                            <w:szCs w:val="20"/>
                            <w:lang w:eastAsia="pl-PL"/>
                          </w:rPr>
                          <w:t>)                                           przychody netto ze sprzedaży produktów                                 + przychody netto ze sprzedaży towarów                                 i materiałów</w:t>
                        </w:r>
                      </w:p>
                    </w:tc>
                  </w:tr>
                </w:tbl>
                <w:p w14:paraId="62642B0A"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000000" w:fill="FFFFFF"/>
                  <w:vAlign w:val="center"/>
                  <w:hideMark/>
                </w:tcPr>
                <w:p w14:paraId="37D4077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do 60 dni                                   od 61 dni do 90 dni                                                    powyżej 90 dni</w:t>
                  </w:r>
                </w:p>
              </w:tc>
              <w:tc>
                <w:tcPr>
                  <w:tcW w:w="851" w:type="dxa"/>
                  <w:tcBorders>
                    <w:top w:val="nil"/>
                    <w:left w:val="nil"/>
                    <w:bottom w:val="single" w:sz="4" w:space="0" w:color="auto"/>
                    <w:right w:val="single" w:sz="4" w:space="0" w:color="auto"/>
                  </w:tcBorders>
                  <w:shd w:val="clear" w:color="auto" w:fill="auto"/>
                  <w:vAlign w:val="center"/>
                  <w:hideMark/>
                </w:tcPr>
                <w:p w14:paraId="5C2F002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b/>
                      <w:bCs/>
                      <w:sz w:val="20"/>
                      <w:szCs w:val="20"/>
                      <w:lang w:eastAsia="pl-PL"/>
                    </w:rPr>
                    <w:t xml:space="preserve">7 </w:t>
                  </w:r>
                  <w:r w:rsidRPr="00BA4E0B">
                    <w:rPr>
                      <w:rFonts w:eastAsia="Times New Roman" w:cs="Arial"/>
                      <w:sz w:val="20"/>
                      <w:szCs w:val="20"/>
                      <w:lang w:eastAsia="pl-PL"/>
                    </w:rPr>
                    <w:t xml:space="preserve">                                                                   4                                  0</w:t>
                  </w:r>
                </w:p>
              </w:tc>
              <w:tc>
                <w:tcPr>
                  <w:tcW w:w="850" w:type="dxa"/>
                  <w:tcBorders>
                    <w:top w:val="nil"/>
                    <w:left w:val="nil"/>
                    <w:bottom w:val="single" w:sz="4" w:space="0" w:color="auto"/>
                    <w:right w:val="single" w:sz="4" w:space="0" w:color="auto"/>
                  </w:tcBorders>
                  <w:shd w:val="clear" w:color="auto" w:fill="auto"/>
                  <w:vAlign w:val="center"/>
                  <w:hideMark/>
                </w:tcPr>
                <w:p w14:paraId="12259A2F" w14:textId="2A87D785" w:rsidR="00BA4E0B" w:rsidRPr="00BA4E0B" w:rsidRDefault="00554A1B" w:rsidP="00BA4E0B">
                  <w:pPr>
                    <w:spacing w:after="0" w:line="240" w:lineRule="auto"/>
                    <w:jc w:val="center"/>
                    <w:rPr>
                      <w:rFonts w:eastAsia="Times New Roman" w:cs="Arial"/>
                      <w:b/>
                      <w:bCs/>
                      <w:lang w:eastAsia="pl-PL"/>
                    </w:rPr>
                  </w:pPr>
                  <w:r>
                    <w:rPr>
                      <w:rFonts w:eastAsia="Times New Roman" w:cs="Arial"/>
                      <w:b/>
                      <w:bCs/>
                      <w:lang w:eastAsia="pl-PL"/>
                    </w:rPr>
                    <w:t>1</w:t>
                  </w:r>
                  <w:r w:rsidR="001964B2">
                    <w:rPr>
                      <w:rFonts w:eastAsia="Times New Roman" w:cs="Arial"/>
                      <w:b/>
                      <w:bCs/>
                      <w:lang w:eastAsia="pl-PL"/>
                    </w:rPr>
                    <w:t>5</w:t>
                  </w:r>
                </w:p>
              </w:tc>
              <w:tc>
                <w:tcPr>
                  <w:tcW w:w="650" w:type="dxa"/>
                  <w:tcBorders>
                    <w:top w:val="nil"/>
                    <w:left w:val="nil"/>
                    <w:bottom w:val="single" w:sz="4" w:space="0" w:color="auto"/>
                    <w:right w:val="single" w:sz="4" w:space="0" w:color="auto"/>
                  </w:tcBorders>
                  <w:shd w:val="clear" w:color="000000" w:fill="FFFFFF"/>
                  <w:vAlign w:val="center"/>
                  <w:hideMark/>
                </w:tcPr>
                <w:p w14:paraId="4798B186"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7</w:t>
                  </w:r>
                </w:p>
              </w:tc>
            </w:tr>
            <w:tr w:rsidR="00BA4E0B" w:rsidRPr="00BA4E0B" w14:paraId="033DF3FA" w14:textId="77777777" w:rsidTr="00375513">
              <w:trPr>
                <w:trHeight w:val="390"/>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5AD5A52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EFEKTYWNOŚCI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512DE8F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69501C9B"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10</w:t>
                  </w:r>
                </w:p>
              </w:tc>
              <w:tc>
                <w:tcPr>
                  <w:tcW w:w="850" w:type="dxa"/>
                  <w:tcBorders>
                    <w:top w:val="single" w:sz="8" w:space="0" w:color="auto"/>
                    <w:left w:val="nil"/>
                    <w:bottom w:val="single" w:sz="8" w:space="0" w:color="auto"/>
                    <w:right w:val="nil"/>
                  </w:tcBorders>
                  <w:shd w:val="clear" w:color="000000" w:fill="FF9900"/>
                  <w:vAlign w:val="center"/>
                  <w:hideMark/>
                </w:tcPr>
                <w:p w14:paraId="41665953"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0E7D9807"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10</w:t>
                  </w:r>
                </w:p>
              </w:tc>
            </w:tr>
            <w:tr w:rsidR="00BA4E0B" w:rsidRPr="00BA4E0B" w14:paraId="2AA2DD40" w14:textId="77777777" w:rsidTr="00375513">
              <w:trPr>
                <w:trHeight w:val="105"/>
              </w:trPr>
              <w:tc>
                <w:tcPr>
                  <w:tcW w:w="1249" w:type="dxa"/>
                  <w:tcBorders>
                    <w:top w:val="single" w:sz="4" w:space="0" w:color="auto"/>
                    <w:left w:val="nil"/>
                    <w:bottom w:val="single" w:sz="4" w:space="0" w:color="auto"/>
                    <w:right w:val="nil"/>
                  </w:tcBorders>
                  <w:shd w:val="clear" w:color="auto" w:fill="auto"/>
                  <w:vAlign w:val="center"/>
                  <w:hideMark/>
                </w:tcPr>
                <w:p w14:paraId="7AC57078"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c>
                <w:tcPr>
                  <w:tcW w:w="4352" w:type="dxa"/>
                  <w:tcBorders>
                    <w:top w:val="single" w:sz="4" w:space="0" w:color="auto"/>
                    <w:left w:val="nil"/>
                    <w:bottom w:val="single" w:sz="4" w:space="0" w:color="auto"/>
                    <w:right w:val="nil"/>
                  </w:tcBorders>
                  <w:shd w:val="clear" w:color="auto" w:fill="auto"/>
                  <w:vAlign w:val="center"/>
                  <w:hideMark/>
                </w:tcPr>
                <w:p w14:paraId="0378A3B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single" w:sz="4" w:space="0" w:color="auto"/>
                    <w:right w:val="nil"/>
                  </w:tcBorders>
                  <w:shd w:val="clear" w:color="000000" w:fill="FFFFFF"/>
                  <w:vAlign w:val="center"/>
                  <w:hideMark/>
                </w:tcPr>
                <w:p w14:paraId="462D27C0"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single" w:sz="4" w:space="0" w:color="auto"/>
                    <w:right w:val="nil"/>
                  </w:tcBorders>
                  <w:shd w:val="clear" w:color="auto" w:fill="auto"/>
                  <w:vAlign w:val="center"/>
                  <w:hideMark/>
                </w:tcPr>
                <w:p w14:paraId="4D5AD827"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single" w:sz="4" w:space="0" w:color="auto"/>
                    <w:right w:val="nil"/>
                  </w:tcBorders>
                  <w:shd w:val="clear" w:color="auto" w:fill="auto"/>
                  <w:vAlign w:val="center"/>
                  <w:hideMark/>
                </w:tcPr>
                <w:p w14:paraId="31231D1F"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single" w:sz="4" w:space="0" w:color="auto"/>
                    <w:right w:val="single" w:sz="8" w:space="0" w:color="auto"/>
                  </w:tcBorders>
                  <w:shd w:val="clear" w:color="000000" w:fill="FFFFFF"/>
                  <w:vAlign w:val="center"/>
                  <w:hideMark/>
                </w:tcPr>
                <w:p w14:paraId="2B20F6A5"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7AE17A74" w14:textId="77777777" w:rsidTr="00375513">
              <w:trPr>
                <w:trHeight w:val="240"/>
              </w:trPr>
              <w:tc>
                <w:tcPr>
                  <w:tcW w:w="5601" w:type="dxa"/>
                  <w:gridSpan w:val="2"/>
                  <w:tcBorders>
                    <w:top w:val="single" w:sz="4" w:space="0" w:color="auto"/>
                    <w:left w:val="single" w:sz="8" w:space="0" w:color="auto"/>
                    <w:bottom w:val="single" w:sz="4" w:space="0" w:color="auto"/>
                    <w:right w:val="nil"/>
                  </w:tcBorders>
                  <w:shd w:val="clear" w:color="000000" w:fill="969696"/>
                  <w:noWrap/>
                  <w:vAlign w:val="center"/>
                  <w:hideMark/>
                </w:tcPr>
                <w:p w14:paraId="450EBAC3"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IV.     WSKAŹNIKI ZADŁUŻENIA</w:t>
                  </w:r>
                </w:p>
              </w:tc>
              <w:tc>
                <w:tcPr>
                  <w:tcW w:w="1984" w:type="dxa"/>
                  <w:tcBorders>
                    <w:top w:val="nil"/>
                    <w:left w:val="nil"/>
                    <w:bottom w:val="single" w:sz="4" w:space="0" w:color="auto"/>
                    <w:right w:val="nil"/>
                  </w:tcBorders>
                  <w:shd w:val="clear" w:color="000000" w:fill="969696"/>
                  <w:noWrap/>
                  <w:vAlign w:val="center"/>
                  <w:hideMark/>
                </w:tcPr>
                <w:p w14:paraId="611FB4D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nil"/>
                    <w:left w:val="nil"/>
                    <w:bottom w:val="single" w:sz="4" w:space="0" w:color="auto"/>
                    <w:right w:val="nil"/>
                  </w:tcBorders>
                  <w:shd w:val="clear" w:color="000000" w:fill="969696"/>
                  <w:noWrap/>
                  <w:vAlign w:val="center"/>
                  <w:hideMark/>
                </w:tcPr>
                <w:p w14:paraId="186A5CF3"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nil"/>
                    <w:left w:val="nil"/>
                    <w:bottom w:val="single" w:sz="4" w:space="0" w:color="auto"/>
                    <w:right w:val="nil"/>
                  </w:tcBorders>
                  <w:shd w:val="clear" w:color="000000" w:fill="969696"/>
                  <w:noWrap/>
                  <w:vAlign w:val="center"/>
                  <w:hideMark/>
                </w:tcPr>
                <w:p w14:paraId="437CA7E0"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nil"/>
                    <w:left w:val="nil"/>
                    <w:bottom w:val="single" w:sz="4" w:space="0" w:color="auto"/>
                    <w:right w:val="single" w:sz="8" w:space="0" w:color="auto"/>
                  </w:tcBorders>
                  <w:shd w:val="clear" w:color="000000" w:fill="969696"/>
                  <w:noWrap/>
                  <w:vAlign w:val="center"/>
                  <w:hideMark/>
                </w:tcPr>
                <w:p w14:paraId="20410ECC"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BA4E0B" w:rsidRPr="00BA4E0B" w14:paraId="47A8E18A" w14:textId="77777777" w:rsidTr="00375513">
              <w:trPr>
                <w:trHeight w:val="102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723A5E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Zadłużenia aktywów                       %</w:t>
                  </w:r>
                </w:p>
              </w:tc>
              <w:tc>
                <w:tcPr>
                  <w:tcW w:w="4352" w:type="dxa"/>
                  <w:tcBorders>
                    <w:top w:val="nil"/>
                    <w:left w:val="nil"/>
                    <w:bottom w:val="nil"/>
                    <w:right w:val="nil"/>
                  </w:tcBorders>
                  <w:shd w:val="clear" w:color="auto" w:fill="auto"/>
                  <w:noWrap/>
                  <w:vAlign w:val="bottom"/>
                  <w:hideMark/>
                </w:tcPr>
                <w:p w14:paraId="6D9F9EBF"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7350DE1D" w14:textId="77777777" w:rsidTr="00375513">
                    <w:trPr>
                      <w:trHeight w:val="102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1F9A08D0"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(zobowiązania długoterminowe  + zobowiązania krótkoterminowe + rezerwy na zobowiązania )                         </w:t>
                        </w:r>
                        <w:r w:rsidRPr="00BA4E0B">
                          <w:rPr>
                            <w:rFonts w:eastAsia="Times New Roman" w:cs="Arial"/>
                            <w:sz w:val="20"/>
                            <w:szCs w:val="20"/>
                            <w:u w:val="single"/>
                            <w:lang w:eastAsia="pl-PL"/>
                          </w:rPr>
                          <w:t xml:space="preserve">x 100%                                                                                                                                                 </w:t>
                        </w:r>
                        <w:r w:rsidRPr="00BA4E0B">
                          <w:rPr>
                            <w:rFonts w:eastAsia="Times New Roman" w:cs="Arial"/>
                            <w:sz w:val="20"/>
                            <w:szCs w:val="20"/>
                            <w:lang w:eastAsia="pl-PL"/>
                          </w:rPr>
                          <w:t>aktywa razem</w:t>
                        </w:r>
                      </w:p>
                    </w:tc>
                  </w:tr>
                </w:tbl>
                <w:p w14:paraId="0065F47A"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62609C33"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40 %                                    od 40%  do  60%                                             powyżej 60% do 80%                                                                                        powyżej 80%</w:t>
                  </w:r>
                </w:p>
              </w:tc>
              <w:tc>
                <w:tcPr>
                  <w:tcW w:w="851" w:type="dxa"/>
                  <w:tcBorders>
                    <w:top w:val="nil"/>
                    <w:left w:val="nil"/>
                    <w:bottom w:val="single" w:sz="4" w:space="0" w:color="auto"/>
                    <w:right w:val="single" w:sz="4" w:space="0" w:color="auto"/>
                  </w:tcBorders>
                  <w:shd w:val="clear" w:color="auto" w:fill="auto"/>
                  <w:vAlign w:val="center"/>
                  <w:hideMark/>
                </w:tcPr>
                <w:p w14:paraId="2F552CFE"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b/>
                      <w:bCs/>
                      <w:sz w:val="20"/>
                      <w:szCs w:val="20"/>
                      <w:lang w:eastAsia="pl-PL"/>
                    </w:rPr>
                    <w:t>10</w:t>
                  </w:r>
                  <w:r w:rsidRPr="00BA4E0B">
                    <w:rPr>
                      <w:rFonts w:eastAsia="Times New Roman" w:cs="Arial"/>
                      <w:sz w:val="20"/>
                      <w:szCs w:val="20"/>
                      <w:lang w:eastAsia="pl-PL"/>
                    </w:rPr>
                    <w:t xml:space="preserve">                          8                             3                                                                    0</w:t>
                  </w:r>
                </w:p>
              </w:tc>
              <w:tc>
                <w:tcPr>
                  <w:tcW w:w="850" w:type="dxa"/>
                  <w:tcBorders>
                    <w:top w:val="nil"/>
                    <w:left w:val="nil"/>
                    <w:bottom w:val="single" w:sz="4" w:space="0" w:color="auto"/>
                    <w:right w:val="single" w:sz="4" w:space="0" w:color="auto"/>
                  </w:tcBorders>
                  <w:shd w:val="clear" w:color="auto" w:fill="auto"/>
                  <w:vAlign w:val="center"/>
                  <w:hideMark/>
                </w:tcPr>
                <w:p w14:paraId="71ABD3AD" w14:textId="340B8987" w:rsidR="00BA4E0B" w:rsidRPr="00BA4E0B" w:rsidRDefault="00554A1B" w:rsidP="00BA4E0B">
                  <w:pPr>
                    <w:spacing w:after="0" w:line="240" w:lineRule="auto"/>
                    <w:jc w:val="center"/>
                    <w:rPr>
                      <w:rFonts w:eastAsia="Times New Roman" w:cs="Arial"/>
                      <w:b/>
                      <w:bCs/>
                      <w:lang w:eastAsia="pl-PL"/>
                    </w:rPr>
                  </w:pPr>
                  <w:r>
                    <w:rPr>
                      <w:rFonts w:eastAsia="Times New Roman" w:cs="Arial"/>
                      <w:b/>
                      <w:bCs/>
                      <w:lang w:eastAsia="pl-PL"/>
                    </w:rPr>
                    <w:t>30</w:t>
                  </w:r>
                  <w:r w:rsidR="0060689E">
                    <w:rPr>
                      <w:rFonts w:eastAsia="Times New Roman" w:cs="Arial"/>
                      <w:b/>
                      <w:bCs/>
                      <w:lang w:eastAsia="pl-PL"/>
                    </w:rPr>
                    <w:t>,</w:t>
                  </w:r>
                  <w:r w:rsidR="001964B2">
                    <w:rPr>
                      <w:rFonts w:eastAsia="Times New Roman" w:cs="Arial"/>
                      <w:b/>
                      <w:bCs/>
                      <w:lang w:eastAsia="pl-PL"/>
                    </w:rPr>
                    <w:t>31</w:t>
                  </w:r>
                  <w:r w:rsidR="00BA4E0B" w:rsidRPr="00BA4E0B">
                    <w:rPr>
                      <w:rFonts w:eastAsia="Times New Roman" w:cs="Arial"/>
                      <w:b/>
                      <w:bCs/>
                      <w:lang w:eastAsia="pl-PL"/>
                    </w:rPr>
                    <w:t>%</w:t>
                  </w:r>
                </w:p>
              </w:tc>
              <w:tc>
                <w:tcPr>
                  <w:tcW w:w="650" w:type="dxa"/>
                  <w:tcBorders>
                    <w:top w:val="nil"/>
                    <w:left w:val="nil"/>
                    <w:bottom w:val="single" w:sz="4" w:space="0" w:color="auto"/>
                    <w:right w:val="single" w:sz="4" w:space="0" w:color="auto"/>
                  </w:tcBorders>
                  <w:shd w:val="clear" w:color="000000" w:fill="FFFFFF"/>
                  <w:vAlign w:val="center"/>
                  <w:hideMark/>
                </w:tcPr>
                <w:p w14:paraId="67E49805"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10</w:t>
                  </w:r>
                </w:p>
              </w:tc>
            </w:tr>
            <w:tr w:rsidR="00BA4E0B" w:rsidRPr="00BA4E0B" w14:paraId="0A29760C" w14:textId="77777777" w:rsidTr="00375513">
              <w:trPr>
                <w:trHeight w:val="1415"/>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4E15049"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Wypłacalności</w:t>
                  </w:r>
                </w:p>
              </w:tc>
              <w:tc>
                <w:tcPr>
                  <w:tcW w:w="4352" w:type="dxa"/>
                  <w:tcBorders>
                    <w:top w:val="nil"/>
                    <w:left w:val="nil"/>
                    <w:bottom w:val="nil"/>
                    <w:right w:val="nil"/>
                  </w:tcBorders>
                  <w:shd w:val="clear" w:color="auto" w:fill="auto"/>
                  <w:noWrap/>
                  <w:vAlign w:val="bottom"/>
                  <w:hideMark/>
                </w:tcPr>
                <w:p w14:paraId="42D1E29A"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53B46B15" w14:textId="77777777" w:rsidTr="00375513">
                    <w:trPr>
                      <w:trHeight w:val="1187"/>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08EEFED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zobowiązania długoterminowe  + zobowiązania </w:t>
                        </w:r>
                        <w:r w:rsidRPr="00BA4E0B">
                          <w:rPr>
                            <w:rFonts w:eastAsia="Times New Roman" w:cs="Arial"/>
                            <w:sz w:val="20"/>
                            <w:szCs w:val="20"/>
                            <w:u w:val="single"/>
                            <w:lang w:eastAsia="pl-PL"/>
                          </w:rPr>
                          <w:t xml:space="preserve">krótkoterminowe + rezerwy na zobowiązania                                                                       </w:t>
                        </w:r>
                        <w:r w:rsidRPr="00BA4E0B">
                          <w:rPr>
                            <w:rFonts w:eastAsia="Times New Roman" w:cs="Arial"/>
                            <w:sz w:val="20"/>
                            <w:szCs w:val="20"/>
                            <w:lang w:eastAsia="pl-PL"/>
                          </w:rPr>
                          <w:t>fundusz własny</w:t>
                        </w:r>
                      </w:p>
                    </w:tc>
                  </w:tr>
                </w:tbl>
                <w:p w14:paraId="4B7CD5B3"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0F1F226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od 0,00 do 0,50                               od 0,51 do 1,00                                             od 1,01 do 2,00                                                  od 2,01  do 4,00                                                                                       powyżej 4,00 lub poniżej 0,00</w:t>
                  </w:r>
                </w:p>
              </w:tc>
              <w:tc>
                <w:tcPr>
                  <w:tcW w:w="851" w:type="dxa"/>
                  <w:tcBorders>
                    <w:top w:val="nil"/>
                    <w:left w:val="nil"/>
                    <w:bottom w:val="single" w:sz="4" w:space="0" w:color="auto"/>
                    <w:right w:val="single" w:sz="4" w:space="0" w:color="auto"/>
                  </w:tcBorders>
                  <w:shd w:val="clear" w:color="auto" w:fill="auto"/>
                  <w:hideMark/>
                </w:tcPr>
                <w:p w14:paraId="38776BE3"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b/>
                      <w:bCs/>
                      <w:sz w:val="20"/>
                      <w:szCs w:val="20"/>
                      <w:lang w:eastAsia="pl-PL"/>
                    </w:rPr>
                    <w:t>10</w:t>
                  </w:r>
                  <w:r w:rsidRPr="00BA4E0B">
                    <w:rPr>
                      <w:rFonts w:eastAsia="Times New Roman" w:cs="Arial"/>
                      <w:sz w:val="20"/>
                      <w:szCs w:val="20"/>
                      <w:lang w:eastAsia="pl-PL"/>
                    </w:rPr>
                    <w:t xml:space="preserve">                          8                             6                                                                    4                                  0</w:t>
                  </w:r>
                </w:p>
              </w:tc>
              <w:tc>
                <w:tcPr>
                  <w:tcW w:w="850" w:type="dxa"/>
                  <w:tcBorders>
                    <w:top w:val="nil"/>
                    <w:left w:val="nil"/>
                    <w:bottom w:val="single" w:sz="4" w:space="0" w:color="auto"/>
                    <w:right w:val="single" w:sz="4" w:space="0" w:color="auto"/>
                  </w:tcBorders>
                  <w:shd w:val="clear" w:color="auto" w:fill="auto"/>
                  <w:vAlign w:val="center"/>
                  <w:hideMark/>
                </w:tcPr>
                <w:p w14:paraId="5872AC38" w14:textId="79A2D92D" w:rsidR="00BA4E0B" w:rsidRPr="00BA4E0B" w:rsidRDefault="0060689E" w:rsidP="00BA4E0B">
                  <w:pPr>
                    <w:spacing w:after="0" w:line="240" w:lineRule="auto"/>
                    <w:jc w:val="center"/>
                    <w:rPr>
                      <w:rFonts w:eastAsia="Times New Roman" w:cs="Arial"/>
                      <w:b/>
                      <w:bCs/>
                      <w:lang w:eastAsia="pl-PL"/>
                    </w:rPr>
                  </w:pPr>
                  <w:r>
                    <w:rPr>
                      <w:rFonts w:eastAsia="Times New Roman" w:cs="Arial"/>
                      <w:b/>
                      <w:bCs/>
                      <w:lang w:eastAsia="pl-PL"/>
                    </w:rPr>
                    <w:t>2,</w:t>
                  </w:r>
                  <w:r w:rsidR="001964B2">
                    <w:rPr>
                      <w:rFonts w:eastAsia="Times New Roman" w:cs="Arial"/>
                      <w:b/>
                      <w:bCs/>
                      <w:lang w:eastAsia="pl-PL"/>
                    </w:rPr>
                    <w:t>11</w:t>
                  </w:r>
                </w:p>
              </w:tc>
              <w:tc>
                <w:tcPr>
                  <w:tcW w:w="650" w:type="dxa"/>
                  <w:tcBorders>
                    <w:top w:val="nil"/>
                    <w:left w:val="nil"/>
                    <w:bottom w:val="single" w:sz="4" w:space="0" w:color="auto"/>
                    <w:right w:val="single" w:sz="4" w:space="0" w:color="auto"/>
                  </w:tcBorders>
                  <w:shd w:val="clear" w:color="000000" w:fill="FFFFFF"/>
                  <w:vAlign w:val="center"/>
                  <w:hideMark/>
                </w:tcPr>
                <w:p w14:paraId="4245C87F" w14:textId="67B88D9C"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4</w:t>
                  </w:r>
                </w:p>
              </w:tc>
            </w:tr>
            <w:tr w:rsidR="00BA4E0B" w:rsidRPr="00BA4E0B" w14:paraId="709B5463" w14:textId="77777777" w:rsidTr="00375513">
              <w:trPr>
                <w:trHeight w:val="375"/>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73A26FE4"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w:t>
                  </w:r>
                  <w:r w:rsidR="00F66FC2">
                    <w:rPr>
                      <w:rFonts w:eastAsia="Times New Roman" w:cs="Arial"/>
                      <w:b/>
                      <w:bCs/>
                      <w:sz w:val="20"/>
                      <w:szCs w:val="20"/>
                      <w:lang w:eastAsia="pl-PL"/>
                    </w:rPr>
                    <w:t>ZADŁUŻENIA</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39AB6D3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008AE7A0"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20</w:t>
                  </w:r>
                </w:p>
              </w:tc>
              <w:tc>
                <w:tcPr>
                  <w:tcW w:w="850" w:type="dxa"/>
                  <w:tcBorders>
                    <w:top w:val="single" w:sz="8" w:space="0" w:color="auto"/>
                    <w:left w:val="nil"/>
                    <w:bottom w:val="single" w:sz="8" w:space="0" w:color="auto"/>
                    <w:right w:val="nil"/>
                  </w:tcBorders>
                  <w:shd w:val="clear" w:color="000000" w:fill="FF9900"/>
                  <w:vAlign w:val="center"/>
                  <w:hideMark/>
                </w:tcPr>
                <w:p w14:paraId="6BE4A184"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3D152E3B" w14:textId="4006DF29"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w:t>
                  </w:r>
                  <w:r w:rsidR="001964B2">
                    <w:rPr>
                      <w:rFonts w:eastAsia="Times New Roman" w:cs="Arial"/>
                      <w:b/>
                      <w:bCs/>
                      <w:lang w:eastAsia="pl-PL"/>
                    </w:rPr>
                    <w:t>4</w:t>
                  </w:r>
                </w:p>
              </w:tc>
            </w:tr>
            <w:tr w:rsidR="00BA4E0B" w:rsidRPr="00BA4E0B" w14:paraId="11EC8D6B" w14:textId="77777777" w:rsidTr="00375513">
              <w:trPr>
                <w:trHeight w:val="210"/>
              </w:trPr>
              <w:tc>
                <w:tcPr>
                  <w:tcW w:w="1249" w:type="dxa"/>
                  <w:tcBorders>
                    <w:top w:val="single" w:sz="4" w:space="0" w:color="auto"/>
                    <w:left w:val="nil"/>
                    <w:bottom w:val="nil"/>
                    <w:right w:val="nil"/>
                  </w:tcBorders>
                  <w:shd w:val="clear" w:color="auto" w:fill="auto"/>
                  <w:vAlign w:val="center"/>
                  <w:hideMark/>
                </w:tcPr>
                <w:p w14:paraId="12015AB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4352" w:type="dxa"/>
                  <w:tcBorders>
                    <w:top w:val="single" w:sz="4" w:space="0" w:color="auto"/>
                    <w:left w:val="nil"/>
                    <w:bottom w:val="nil"/>
                    <w:right w:val="nil"/>
                  </w:tcBorders>
                  <w:shd w:val="clear" w:color="auto" w:fill="auto"/>
                  <w:vAlign w:val="center"/>
                  <w:hideMark/>
                </w:tcPr>
                <w:p w14:paraId="5901148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nil"/>
                    <w:right w:val="nil"/>
                  </w:tcBorders>
                  <w:shd w:val="clear" w:color="auto" w:fill="auto"/>
                  <w:vAlign w:val="center"/>
                  <w:hideMark/>
                </w:tcPr>
                <w:p w14:paraId="197DBC9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nil"/>
                    <w:right w:val="nil"/>
                  </w:tcBorders>
                  <w:shd w:val="clear" w:color="auto" w:fill="auto"/>
                  <w:hideMark/>
                </w:tcPr>
                <w:p w14:paraId="07B99BA5"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nil"/>
                    <w:right w:val="nil"/>
                  </w:tcBorders>
                  <w:shd w:val="clear" w:color="auto" w:fill="auto"/>
                  <w:vAlign w:val="center"/>
                  <w:hideMark/>
                </w:tcPr>
                <w:p w14:paraId="7694BCCA"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nil"/>
                    <w:right w:val="nil"/>
                  </w:tcBorders>
                  <w:shd w:val="clear" w:color="000000" w:fill="FFFFFF"/>
                  <w:vAlign w:val="center"/>
                  <w:hideMark/>
                </w:tcPr>
                <w:p w14:paraId="431B85E5"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087296CD" w14:textId="77777777" w:rsidTr="00375513">
              <w:trPr>
                <w:trHeight w:val="390"/>
              </w:trPr>
              <w:tc>
                <w:tcPr>
                  <w:tcW w:w="9286" w:type="dxa"/>
                  <w:gridSpan w:val="5"/>
                  <w:tcBorders>
                    <w:top w:val="single" w:sz="4" w:space="0" w:color="auto"/>
                    <w:left w:val="single" w:sz="8" w:space="0" w:color="auto"/>
                    <w:bottom w:val="single" w:sz="8" w:space="0" w:color="auto"/>
                    <w:right w:val="nil"/>
                  </w:tcBorders>
                  <w:shd w:val="clear" w:color="000000" w:fill="FF9900"/>
                  <w:noWrap/>
                  <w:vAlign w:val="center"/>
                  <w:hideMark/>
                </w:tcPr>
                <w:p w14:paraId="3AF9F293" w14:textId="77777777" w:rsidR="00BA4E0B" w:rsidRPr="00BA4E0B" w:rsidRDefault="00BA4E0B" w:rsidP="00BA4E0B">
                  <w:pPr>
                    <w:spacing w:after="0" w:line="240" w:lineRule="auto"/>
                    <w:jc w:val="center"/>
                    <w:rPr>
                      <w:rFonts w:eastAsia="Times New Roman" w:cs="Arial"/>
                      <w:b/>
                      <w:bCs/>
                      <w:sz w:val="24"/>
                      <w:szCs w:val="24"/>
                      <w:lang w:eastAsia="pl-PL"/>
                    </w:rPr>
                  </w:pPr>
                  <w:r w:rsidRPr="00BA4E0B">
                    <w:rPr>
                      <w:rFonts w:eastAsia="Times New Roman" w:cs="Arial"/>
                      <w:b/>
                      <w:bCs/>
                      <w:sz w:val="24"/>
                      <w:szCs w:val="24"/>
                      <w:lang w:eastAsia="pl-PL"/>
                    </w:rPr>
                    <w:t>SUMA  UZYSKANYCH  PUNKTÓW</w:t>
                  </w:r>
                </w:p>
              </w:tc>
              <w:tc>
                <w:tcPr>
                  <w:tcW w:w="650" w:type="dxa"/>
                  <w:tcBorders>
                    <w:top w:val="single" w:sz="4" w:space="0" w:color="auto"/>
                    <w:left w:val="nil"/>
                    <w:bottom w:val="single" w:sz="8" w:space="0" w:color="auto"/>
                    <w:right w:val="single" w:sz="8" w:space="0" w:color="auto"/>
                  </w:tcBorders>
                  <w:shd w:val="clear" w:color="000000" w:fill="FF9900"/>
                  <w:noWrap/>
                  <w:vAlign w:val="center"/>
                  <w:hideMark/>
                </w:tcPr>
                <w:p w14:paraId="21DBCDCB" w14:textId="7AE895DE"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49</w:t>
                  </w:r>
                </w:p>
              </w:tc>
            </w:tr>
          </w:tbl>
          <w:p w14:paraId="2F0FF6D6" w14:textId="77777777" w:rsidR="00F352FF" w:rsidRPr="00F352FF" w:rsidRDefault="00F352FF" w:rsidP="00F352FF">
            <w:pPr>
              <w:spacing w:after="0" w:line="240" w:lineRule="auto"/>
              <w:jc w:val="center"/>
              <w:rPr>
                <w:rFonts w:eastAsia="Times New Roman" w:cs="Arial"/>
                <w:b/>
                <w:bCs/>
                <w:sz w:val="24"/>
                <w:szCs w:val="24"/>
                <w:lang w:eastAsia="pl-PL"/>
              </w:rPr>
            </w:pPr>
          </w:p>
        </w:tc>
      </w:tr>
    </w:tbl>
    <w:p w14:paraId="6BA7C8DC" w14:textId="77777777" w:rsidR="00D03378" w:rsidRDefault="00D03378" w:rsidP="00D03378">
      <w:pPr>
        <w:rPr>
          <w:rFonts w:eastAsiaTheme="minorEastAsia" w:hAnsi="Calibri"/>
          <w:sz w:val="24"/>
          <w:szCs w:val="24"/>
        </w:rPr>
      </w:pPr>
    </w:p>
    <w:p w14:paraId="1ED18839" w14:textId="77777777" w:rsidR="00D03378" w:rsidRDefault="00D03378" w:rsidP="00D03378">
      <w:pPr>
        <w:rPr>
          <w:rFonts w:eastAsiaTheme="minorEastAsia" w:hAnsi="Calibri"/>
          <w:sz w:val="24"/>
          <w:szCs w:val="24"/>
        </w:rPr>
      </w:pPr>
    </w:p>
    <w:p w14:paraId="6763C68D" w14:textId="7F5BB63C" w:rsidR="00D03378" w:rsidRPr="002E71AC" w:rsidRDefault="00D03378" w:rsidP="00902004">
      <w:pPr>
        <w:ind w:firstLine="708"/>
        <w:jc w:val="both"/>
        <w:rPr>
          <w:rFonts w:eastAsiaTheme="minorEastAsia"/>
          <w:iCs/>
          <w:color w:val="000000" w:themeColor="text1"/>
          <w:kern w:val="24"/>
          <w:sz w:val="24"/>
          <w:szCs w:val="24"/>
        </w:rPr>
      </w:pPr>
      <w:r w:rsidRPr="00F52EAA">
        <w:rPr>
          <w:rFonts w:eastAsiaTheme="minorEastAsia"/>
          <w:iCs/>
          <w:color w:val="000000" w:themeColor="text1"/>
          <w:kern w:val="24"/>
          <w:sz w:val="24"/>
          <w:szCs w:val="24"/>
        </w:rPr>
        <w:t>W wyniku analizy wskaźników</w:t>
      </w:r>
      <w:r>
        <w:rPr>
          <w:rFonts w:eastAsiaTheme="minorEastAsia"/>
          <w:iCs/>
          <w:color w:val="000000" w:themeColor="text1"/>
          <w:kern w:val="24"/>
          <w:sz w:val="24"/>
          <w:szCs w:val="24"/>
        </w:rPr>
        <w:t xml:space="preserve"> sp</w:t>
      </w:r>
      <w:r w:rsidRPr="00F52EAA">
        <w:rPr>
          <w:rFonts w:eastAsiaTheme="minorEastAsia"/>
          <w:iCs/>
          <w:color w:val="000000" w:themeColor="text1"/>
          <w:kern w:val="24"/>
          <w:sz w:val="24"/>
          <w:szCs w:val="24"/>
        </w:rPr>
        <w:t xml:space="preserve">orządzonej na podstawie </w:t>
      </w:r>
      <w:r w:rsidR="00BD14FD">
        <w:rPr>
          <w:rFonts w:eastAsiaTheme="minorEastAsia"/>
          <w:iCs/>
          <w:color w:val="000000" w:themeColor="text1"/>
          <w:kern w:val="24"/>
          <w:sz w:val="24"/>
          <w:szCs w:val="24"/>
        </w:rPr>
        <w:t>sprawozdania finansowego za 201</w:t>
      </w:r>
      <w:r w:rsidR="001964B2">
        <w:rPr>
          <w:rFonts w:eastAsiaTheme="minorEastAsia"/>
          <w:iCs/>
          <w:color w:val="000000" w:themeColor="text1"/>
          <w:kern w:val="24"/>
          <w:sz w:val="24"/>
          <w:szCs w:val="24"/>
        </w:rPr>
        <w:t xml:space="preserve">9 </w:t>
      </w:r>
      <w:r w:rsidRPr="00F52EAA">
        <w:rPr>
          <w:rFonts w:eastAsiaTheme="minorEastAsia"/>
          <w:iCs/>
          <w:color w:val="000000" w:themeColor="text1"/>
          <w:kern w:val="24"/>
          <w:sz w:val="24"/>
          <w:szCs w:val="24"/>
        </w:rPr>
        <w:t xml:space="preserve">r. przy zastosowaniu metody punktowej  uzyskano </w:t>
      </w:r>
      <w:r w:rsidR="00766716">
        <w:rPr>
          <w:rFonts w:eastAsiaTheme="minorEastAsia"/>
          <w:iCs/>
          <w:color w:val="000000" w:themeColor="text1"/>
          <w:kern w:val="24"/>
          <w:sz w:val="24"/>
          <w:szCs w:val="24"/>
        </w:rPr>
        <w:t>49</w:t>
      </w:r>
      <w:r w:rsidRPr="00F52EAA">
        <w:rPr>
          <w:rFonts w:eastAsiaTheme="minorEastAsia"/>
          <w:iCs/>
          <w:color w:val="000000" w:themeColor="text1"/>
          <w:kern w:val="24"/>
          <w:sz w:val="24"/>
          <w:szCs w:val="24"/>
        </w:rPr>
        <w:t xml:space="preserve"> punk</w:t>
      </w:r>
      <w:r w:rsidR="00F3414F">
        <w:rPr>
          <w:rFonts w:eastAsiaTheme="minorEastAsia"/>
          <w:iCs/>
          <w:color w:val="000000" w:themeColor="text1"/>
          <w:kern w:val="24"/>
          <w:sz w:val="24"/>
          <w:szCs w:val="24"/>
        </w:rPr>
        <w:t>tów,</w:t>
      </w:r>
      <w:r w:rsidRPr="00F52EAA">
        <w:rPr>
          <w:rFonts w:eastAsiaTheme="minorEastAsia"/>
          <w:color w:val="000000" w:themeColor="text1"/>
          <w:kern w:val="24"/>
          <w:sz w:val="64"/>
          <w:szCs w:val="64"/>
        </w:rPr>
        <w:t xml:space="preserve"> </w:t>
      </w:r>
      <w:r w:rsidRPr="00F52EAA">
        <w:rPr>
          <w:rFonts w:eastAsiaTheme="minorEastAsia"/>
          <w:color w:val="000000" w:themeColor="text1"/>
          <w:kern w:val="24"/>
          <w:sz w:val="24"/>
          <w:szCs w:val="24"/>
        </w:rPr>
        <w:t xml:space="preserve">co stanowi </w:t>
      </w:r>
      <w:r w:rsidR="00766716">
        <w:rPr>
          <w:rFonts w:eastAsiaTheme="minorEastAsia"/>
          <w:color w:val="000000" w:themeColor="text1"/>
          <w:kern w:val="24"/>
          <w:sz w:val="24"/>
          <w:szCs w:val="24"/>
        </w:rPr>
        <w:t>70</w:t>
      </w:r>
      <w:r>
        <w:rPr>
          <w:rFonts w:eastAsiaTheme="minorEastAsia"/>
          <w:color w:val="000000" w:themeColor="text1"/>
          <w:kern w:val="24"/>
          <w:sz w:val="24"/>
          <w:szCs w:val="24"/>
        </w:rPr>
        <w:t xml:space="preserve"> </w:t>
      </w:r>
      <w:r w:rsidRPr="00F52EAA">
        <w:rPr>
          <w:rFonts w:eastAsiaTheme="minorEastAsia"/>
          <w:color w:val="000000" w:themeColor="text1"/>
          <w:kern w:val="24"/>
          <w:sz w:val="24"/>
          <w:szCs w:val="24"/>
        </w:rPr>
        <w:t>%</w:t>
      </w:r>
      <w:r w:rsidRPr="00F52EAA">
        <w:rPr>
          <w:rFonts w:eastAsiaTheme="minorEastAsia"/>
          <w:color w:val="000000" w:themeColor="text1"/>
          <w:kern w:val="24"/>
        </w:rPr>
        <w:t xml:space="preserve"> </w:t>
      </w:r>
      <w:r w:rsidRPr="00F52EAA">
        <w:rPr>
          <w:rFonts w:eastAsiaTheme="minorEastAsia"/>
          <w:color w:val="000000" w:themeColor="text1"/>
          <w:kern w:val="24"/>
          <w:sz w:val="24"/>
          <w:szCs w:val="24"/>
        </w:rPr>
        <w:t>maksymalnej liczby punktów</w:t>
      </w:r>
      <w:r w:rsidR="00F3414F">
        <w:rPr>
          <w:rFonts w:eastAsiaTheme="minorEastAsia"/>
          <w:color w:val="000000" w:themeColor="text1"/>
          <w:kern w:val="24"/>
          <w:sz w:val="24"/>
          <w:szCs w:val="24"/>
        </w:rPr>
        <w:t>,</w:t>
      </w:r>
      <w:r w:rsidRPr="00F52EAA">
        <w:rPr>
          <w:rFonts w:eastAsiaTheme="minorEastAsia"/>
          <w:color w:val="000000" w:themeColor="text1"/>
          <w:kern w:val="24"/>
          <w:sz w:val="24"/>
          <w:szCs w:val="24"/>
        </w:rPr>
        <w:t xml:space="preserve"> możliwej do uzyskania</w:t>
      </w:r>
      <w:r>
        <w:rPr>
          <w:rFonts w:eastAsiaTheme="minorEastAsia"/>
          <w:color w:val="000000" w:themeColor="text1"/>
          <w:kern w:val="24"/>
          <w:sz w:val="24"/>
          <w:szCs w:val="24"/>
        </w:rPr>
        <w:t xml:space="preserve"> ( 70 punktów)</w:t>
      </w:r>
      <w:r w:rsidRPr="00F52EAA">
        <w:rPr>
          <w:rFonts w:eastAsiaTheme="minorEastAsia"/>
          <w:color w:val="000000" w:themeColor="text1"/>
          <w:kern w:val="24"/>
          <w:sz w:val="24"/>
          <w:szCs w:val="24"/>
        </w:rPr>
        <w:t xml:space="preserve"> i</w:t>
      </w:r>
      <w:r>
        <w:rPr>
          <w:rFonts w:eastAsiaTheme="minorEastAsia"/>
          <w:color w:val="000000" w:themeColor="text1"/>
          <w:kern w:val="24"/>
          <w:sz w:val="24"/>
          <w:szCs w:val="24"/>
        </w:rPr>
        <w:t xml:space="preserve"> </w:t>
      </w:r>
      <w:r w:rsidRPr="00F52EAA">
        <w:rPr>
          <w:rFonts w:eastAsiaTheme="minorEastAsia"/>
          <w:color w:val="000000" w:themeColor="text1"/>
          <w:kern w:val="24"/>
          <w:sz w:val="24"/>
          <w:szCs w:val="24"/>
        </w:rPr>
        <w:t xml:space="preserve"> świadczy</w:t>
      </w:r>
      <w:r w:rsidR="00F3414F">
        <w:rPr>
          <w:rFonts w:eastAsiaTheme="minorEastAsia"/>
          <w:color w:val="000000" w:themeColor="text1"/>
          <w:kern w:val="24"/>
          <w:sz w:val="24"/>
          <w:szCs w:val="24"/>
        </w:rPr>
        <w:t xml:space="preserve"> to</w:t>
      </w:r>
      <w:r w:rsidRPr="00F52EAA">
        <w:rPr>
          <w:rFonts w:eastAsiaTheme="minorEastAsia"/>
          <w:color w:val="000000" w:themeColor="text1"/>
          <w:kern w:val="24"/>
          <w:sz w:val="24"/>
          <w:szCs w:val="24"/>
        </w:rPr>
        <w:t xml:space="preserve"> </w:t>
      </w:r>
      <w:r>
        <w:rPr>
          <w:rFonts w:eastAsiaTheme="minorEastAsia"/>
          <w:color w:val="000000" w:themeColor="text1"/>
          <w:kern w:val="24"/>
          <w:sz w:val="24"/>
          <w:szCs w:val="24"/>
        </w:rPr>
        <w:t xml:space="preserve">o </w:t>
      </w:r>
      <w:r w:rsidR="00C67C97">
        <w:rPr>
          <w:rFonts w:eastAsiaTheme="minorEastAsia"/>
          <w:color w:val="000000" w:themeColor="text1"/>
          <w:kern w:val="24"/>
          <w:sz w:val="24"/>
          <w:szCs w:val="24"/>
        </w:rPr>
        <w:t xml:space="preserve"> </w:t>
      </w:r>
      <w:r w:rsidRPr="00F52EAA">
        <w:rPr>
          <w:rFonts w:eastAsiaTheme="minorEastAsia"/>
          <w:iCs/>
          <w:color w:val="000000" w:themeColor="text1"/>
          <w:kern w:val="24"/>
          <w:sz w:val="24"/>
          <w:szCs w:val="24"/>
        </w:rPr>
        <w:t xml:space="preserve">stabilności </w:t>
      </w:r>
      <w:r>
        <w:rPr>
          <w:rFonts w:eastAsiaTheme="minorEastAsia"/>
          <w:iCs/>
          <w:color w:val="000000" w:themeColor="text1"/>
          <w:kern w:val="24"/>
          <w:sz w:val="24"/>
          <w:szCs w:val="24"/>
        </w:rPr>
        <w:t>ekonomiczno-finansowej SP ZOZ i sprawności bieżącego zarządzania jednostką.</w:t>
      </w:r>
    </w:p>
    <w:p w14:paraId="79C4F2E0" w14:textId="5BD895CE" w:rsidR="00D03378" w:rsidRDefault="00D03378" w:rsidP="00902004">
      <w:pPr>
        <w:spacing w:after="0"/>
        <w:ind w:firstLine="708"/>
        <w:jc w:val="both"/>
        <w:rPr>
          <w:rFonts w:eastAsiaTheme="minorEastAsia"/>
          <w:b/>
          <w:color w:val="000000" w:themeColor="text1"/>
          <w:kern w:val="24"/>
          <w:u w:val="single"/>
        </w:rPr>
      </w:pPr>
      <w:r w:rsidRPr="002E71AC">
        <w:rPr>
          <w:rFonts w:eastAsiaTheme="minorEastAsia"/>
          <w:iCs/>
          <w:color w:val="000000" w:themeColor="text1"/>
          <w:kern w:val="24"/>
          <w:sz w:val="24"/>
          <w:szCs w:val="24"/>
        </w:rPr>
        <w:t>Analiza przypisanych punktów pomiędzy poszczególne grupy wskaźników ekonomicznych odzwierciedla ich znaczenie w oce</w:t>
      </w:r>
      <w:r>
        <w:rPr>
          <w:rFonts w:eastAsiaTheme="minorEastAsia"/>
          <w:iCs/>
          <w:color w:val="000000" w:themeColor="text1"/>
          <w:kern w:val="24"/>
          <w:sz w:val="24"/>
          <w:szCs w:val="24"/>
        </w:rPr>
        <w:t>nie ekonomiczno-finansowej SP ZOZ</w:t>
      </w:r>
      <w:r w:rsidRPr="002E71AC">
        <w:rPr>
          <w:rFonts w:eastAsiaTheme="minorEastAsia"/>
          <w:iCs/>
          <w:color w:val="000000" w:themeColor="text1"/>
          <w:kern w:val="24"/>
          <w:sz w:val="24"/>
          <w:szCs w:val="24"/>
        </w:rPr>
        <w:t>.  Samodzielne zakłady opieki zdrowotnej zgodnie z ustawą o działalności leczniczej nie są nastawione na osiąganie zysku</w:t>
      </w:r>
      <w:r w:rsidR="00C67C97">
        <w:rPr>
          <w:rFonts w:eastAsiaTheme="minorEastAsia"/>
          <w:iCs/>
          <w:color w:val="000000" w:themeColor="text1"/>
          <w:kern w:val="24"/>
          <w:sz w:val="24"/>
          <w:szCs w:val="24"/>
        </w:rPr>
        <w:t>, ale też nie mogą generować straty.</w:t>
      </w:r>
      <w:r>
        <w:rPr>
          <w:rFonts w:eastAsiaTheme="minorEastAsia"/>
          <w:iCs/>
          <w:color w:val="000000" w:themeColor="text1"/>
          <w:kern w:val="24"/>
          <w:sz w:val="24"/>
          <w:szCs w:val="24"/>
        </w:rPr>
        <w:t xml:space="preserve"> </w:t>
      </w:r>
      <w:r w:rsidR="00766716">
        <w:rPr>
          <w:rFonts w:eastAsiaTheme="minorEastAsia"/>
          <w:iCs/>
          <w:color w:val="000000" w:themeColor="text1"/>
          <w:kern w:val="24"/>
          <w:sz w:val="24"/>
          <w:szCs w:val="24"/>
        </w:rPr>
        <w:t xml:space="preserve">Niski poziom wskaźnika zyskowności zaniżył ogólną punktację ale nie jest to czynnik negatywny. </w:t>
      </w:r>
    </w:p>
    <w:p w14:paraId="13A66B8C" w14:textId="77777777" w:rsidR="00B53010" w:rsidRDefault="00B53010" w:rsidP="00D03378">
      <w:pPr>
        <w:jc w:val="both"/>
        <w:rPr>
          <w:rFonts w:eastAsiaTheme="minorEastAsia"/>
          <w:b/>
          <w:color w:val="000000" w:themeColor="text1"/>
          <w:kern w:val="24"/>
          <w:u w:val="single"/>
        </w:rPr>
      </w:pPr>
    </w:p>
    <w:p w14:paraId="72788A2F" w14:textId="77777777" w:rsidR="00D03378" w:rsidRPr="00F52EAA" w:rsidRDefault="00D03378" w:rsidP="00D03378">
      <w:pPr>
        <w:jc w:val="both"/>
        <w:rPr>
          <w:rFonts w:eastAsiaTheme="minorEastAsia"/>
          <w:b/>
          <w:color w:val="000000" w:themeColor="text1"/>
          <w:kern w:val="24"/>
          <w:u w:val="single"/>
        </w:rPr>
      </w:pPr>
      <w:r w:rsidRPr="00F52EAA">
        <w:rPr>
          <w:rFonts w:eastAsiaTheme="minorEastAsia"/>
          <w:b/>
          <w:color w:val="000000" w:themeColor="text1"/>
          <w:kern w:val="24"/>
          <w:u w:val="single"/>
        </w:rPr>
        <w:t>III. Prognoza syt</w:t>
      </w:r>
      <w:r>
        <w:rPr>
          <w:rFonts w:eastAsiaTheme="minorEastAsia"/>
          <w:b/>
          <w:color w:val="000000" w:themeColor="text1"/>
          <w:kern w:val="24"/>
          <w:u w:val="single"/>
        </w:rPr>
        <w:t>u</w:t>
      </w:r>
      <w:r w:rsidRPr="00F52EAA">
        <w:rPr>
          <w:rFonts w:eastAsiaTheme="minorEastAsia"/>
          <w:b/>
          <w:color w:val="000000" w:themeColor="text1"/>
          <w:kern w:val="24"/>
          <w:u w:val="single"/>
        </w:rPr>
        <w:t>acji ekonomiczno-finansowej na kolejne trzy lata obrotowe</w:t>
      </w:r>
    </w:p>
    <w:p w14:paraId="155A3359" w14:textId="77777777" w:rsidR="00D03378" w:rsidRPr="00F52EAA" w:rsidRDefault="00D03378" w:rsidP="00D03378">
      <w:pPr>
        <w:jc w:val="both"/>
        <w:rPr>
          <w:rFonts w:eastAsiaTheme="minorEastAsia"/>
          <w:color w:val="000000" w:themeColor="text1"/>
          <w:kern w:val="24"/>
        </w:rPr>
      </w:pPr>
      <w:r w:rsidRPr="0009673C">
        <w:rPr>
          <w:rFonts w:eastAsiaTheme="minorEastAsia"/>
          <w:b/>
          <w:color w:val="000000" w:themeColor="text1"/>
          <w:kern w:val="24"/>
        </w:rPr>
        <w:t>Opis przyjętych założeń</w:t>
      </w:r>
      <w:r>
        <w:rPr>
          <w:rFonts w:eastAsiaTheme="minorEastAsia"/>
          <w:color w:val="000000" w:themeColor="text1"/>
          <w:kern w:val="24"/>
        </w:rPr>
        <w:t>.</w:t>
      </w:r>
    </w:p>
    <w:p w14:paraId="4070A3FD" w14:textId="7C2AFDDB" w:rsidR="004858FA" w:rsidRPr="00D03378" w:rsidRDefault="00D03378" w:rsidP="00D03378">
      <w:pPr>
        <w:jc w:val="both"/>
        <w:rPr>
          <w:rFonts w:cs="Times New Roman"/>
          <w:i/>
          <w:sz w:val="24"/>
          <w:szCs w:val="24"/>
        </w:rPr>
        <w:sectPr w:rsidR="004858FA" w:rsidRPr="00D03378" w:rsidSect="00BA4E0B">
          <w:type w:val="continuous"/>
          <w:pgSz w:w="11906" w:h="16838"/>
          <w:pgMar w:top="238" w:right="1134" w:bottom="284" w:left="1134" w:header="709" w:footer="709" w:gutter="0"/>
          <w:cols w:space="708"/>
          <w:docGrid w:linePitch="360"/>
        </w:sectPr>
      </w:pPr>
      <w:r>
        <w:rPr>
          <w:rFonts w:cs="Times New Roman"/>
          <w:sz w:val="24"/>
          <w:szCs w:val="24"/>
        </w:rPr>
        <w:tab/>
      </w:r>
      <w:r w:rsidRPr="0001420C">
        <w:rPr>
          <w:rFonts w:cs="Times New Roman"/>
          <w:sz w:val="24"/>
          <w:szCs w:val="24"/>
        </w:rPr>
        <w:t xml:space="preserve">Samodzielny </w:t>
      </w:r>
      <w:r w:rsidR="007C150F">
        <w:rPr>
          <w:rFonts w:cs="Times New Roman"/>
          <w:sz w:val="24"/>
          <w:szCs w:val="24"/>
        </w:rPr>
        <w:t>P</w:t>
      </w:r>
      <w:r w:rsidRPr="0001420C">
        <w:rPr>
          <w:rFonts w:cs="Times New Roman"/>
          <w:sz w:val="24"/>
          <w:szCs w:val="24"/>
        </w:rPr>
        <w:t xml:space="preserve">ubliczny </w:t>
      </w:r>
      <w:r w:rsidR="007C150F">
        <w:rPr>
          <w:rFonts w:cs="Times New Roman"/>
          <w:sz w:val="24"/>
          <w:szCs w:val="24"/>
        </w:rPr>
        <w:t>Z</w:t>
      </w:r>
      <w:r w:rsidRPr="0001420C">
        <w:rPr>
          <w:rFonts w:cs="Times New Roman"/>
          <w:sz w:val="24"/>
          <w:szCs w:val="24"/>
        </w:rPr>
        <w:t xml:space="preserve">akład </w:t>
      </w:r>
      <w:r w:rsidR="007C150F">
        <w:rPr>
          <w:rFonts w:cs="Times New Roman"/>
          <w:sz w:val="24"/>
          <w:szCs w:val="24"/>
        </w:rPr>
        <w:t>O</w:t>
      </w:r>
      <w:r w:rsidRPr="0001420C">
        <w:rPr>
          <w:rFonts w:cs="Times New Roman"/>
          <w:sz w:val="24"/>
          <w:szCs w:val="24"/>
        </w:rPr>
        <w:t xml:space="preserve">pieki </w:t>
      </w:r>
      <w:r w:rsidR="007C150F">
        <w:rPr>
          <w:rFonts w:cs="Times New Roman"/>
          <w:sz w:val="24"/>
          <w:szCs w:val="24"/>
        </w:rPr>
        <w:t>Z</w:t>
      </w:r>
      <w:r w:rsidRPr="0001420C">
        <w:rPr>
          <w:rFonts w:cs="Times New Roman"/>
          <w:sz w:val="24"/>
          <w:szCs w:val="24"/>
        </w:rPr>
        <w:t>drowotnej prowadzi gospodarkę finansową na zasadach określonych w ustawie o działalności le</w:t>
      </w:r>
      <w:r w:rsidR="00BD14FD">
        <w:rPr>
          <w:rFonts w:cs="Times New Roman"/>
          <w:sz w:val="24"/>
          <w:szCs w:val="24"/>
        </w:rPr>
        <w:t>czniczej. Prognoza na okres 20</w:t>
      </w:r>
      <w:r w:rsidR="00766716">
        <w:rPr>
          <w:rFonts w:cs="Times New Roman"/>
          <w:sz w:val="24"/>
          <w:szCs w:val="24"/>
        </w:rPr>
        <w:t>20</w:t>
      </w:r>
      <w:r w:rsidR="00BD14FD">
        <w:rPr>
          <w:rFonts w:cs="Times New Roman"/>
          <w:sz w:val="24"/>
          <w:szCs w:val="24"/>
        </w:rPr>
        <w:t>-202</w:t>
      </w:r>
      <w:r w:rsidR="00766716">
        <w:rPr>
          <w:rFonts w:cs="Times New Roman"/>
          <w:sz w:val="24"/>
          <w:szCs w:val="24"/>
        </w:rPr>
        <w:t>2</w:t>
      </w:r>
      <w:r w:rsidRPr="0001420C">
        <w:rPr>
          <w:rFonts w:cs="Times New Roman"/>
          <w:sz w:val="24"/>
          <w:szCs w:val="24"/>
        </w:rPr>
        <w:t xml:space="preserve"> rok została opracowana zgodnie z  art.</w:t>
      </w:r>
      <w:r w:rsidRPr="0001420C">
        <w:rPr>
          <w:rFonts w:cs="Times New Roman"/>
          <w:bCs/>
          <w:sz w:val="24"/>
          <w:szCs w:val="24"/>
        </w:rPr>
        <w:t xml:space="preserve"> 52 ustawy o działalności leczniczej. S</w:t>
      </w:r>
      <w:r>
        <w:rPr>
          <w:rFonts w:cs="Times New Roman"/>
          <w:sz w:val="24"/>
          <w:szCs w:val="24"/>
        </w:rPr>
        <w:t>P ZOZ</w:t>
      </w:r>
      <w:r w:rsidRPr="0001420C">
        <w:rPr>
          <w:rFonts w:cs="Times New Roman"/>
          <w:sz w:val="24"/>
          <w:szCs w:val="24"/>
        </w:rPr>
        <w:t xml:space="preserve"> pokrywa</w:t>
      </w:r>
      <w:r w:rsidR="00B53010">
        <w:rPr>
          <w:rFonts w:cs="Times New Roman"/>
          <w:sz w:val="24"/>
          <w:szCs w:val="24"/>
        </w:rPr>
        <w:t xml:space="preserve"> </w:t>
      </w:r>
      <w:r w:rsidRPr="0001420C">
        <w:rPr>
          <w:rFonts w:cs="Times New Roman"/>
          <w:sz w:val="24"/>
          <w:szCs w:val="24"/>
        </w:rPr>
        <w:t xml:space="preserve">z posiadanych środków i uzyskiwanych przychodów koszty działalności i reguluje zobowiązania. W prognozach sytuacji ekonomiczno-finansowej  na kolejne trzy lata obrotowe założono </w:t>
      </w:r>
      <w:r>
        <w:rPr>
          <w:rFonts w:cs="Times New Roman"/>
          <w:sz w:val="24"/>
          <w:szCs w:val="24"/>
        </w:rPr>
        <w:t xml:space="preserve">utrzymanie stabilności ekonomiczno-finansowej oraz </w:t>
      </w:r>
      <w:r w:rsidRPr="0001420C">
        <w:rPr>
          <w:rFonts w:cs="Times New Roman"/>
          <w:sz w:val="24"/>
          <w:szCs w:val="24"/>
        </w:rPr>
        <w:t>osiągnięcie</w:t>
      </w:r>
      <w:r w:rsidR="006828C2">
        <w:rPr>
          <w:rFonts w:cs="Times New Roman"/>
          <w:sz w:val="24"/>
          <w:szCs w:val="24"/>
        </w:rPr>
        <w:t xml:space="preserve"> dodatniego wyniku finansowego.</w:t>
      </w:r>
      <w:r w:rsidRPr="0001420C">
        <w:rPr>
          <w:rFonts w:cs="Times New Roman"/>
          <w:sz w:val="24"/>
          <w:szCs w:val="24"/>
        </w:rPr>
        <w:t xml:space="preserve"> </w:t>
      </w:r>
    </w:p>
    <w:p w14:paraId="3C5005C4" w14:textId="77777777" w:rsidR="001E1158" w:rsidRPr="00591042" w:rsidRDefault="001E1158" w:rsidP="001E1158">
      <w:pPr>
        <w:jc w:val="both"/>
        <w:rPr>
          <w:rFonts w:cs="Times New Roman"/>
          <w:b/>
          <w:sz w:val="24"/>
          <w:szCs w:val="24"/>
        </w:rPr>
      </w:pPr>
      <w:r w:rsidRPr="00591042">
        <w:rPr>
          <w:rFonts w:cs="Times New Roman"/>
          <w:b/>
          <w:sz w:val="24"/>
          <w:szCs w:val="24"/>
        </w:rPr>
        <w:lastRenderedPageBreak/>
        <w:t>Wskaźniki makroekonomicz</w:t>
      </w:r>
      <w:r w:rsidR="001F0CE6">
        <w:rPr>
          <w:rFonts w:cs="Times New Roman"/>
          <w:b/>
          <w:sz w:val="24"/>
          <w:szCs w:val="24"/>
        </w:rPr>
        <w:t>n</w:t>
      </w:r>
      <w:r w:rsidRPr="00591042">
        <w:rPr>
          <w:rFonts w:cs="Times New Roman"/>
          <w:b/>
          <w:sz w:val="24"/>
          <w:szCs w:val="24"/>
        </w:rPr>
        <w:t xml:space="preserve">e </w:t>
      </w:r>
    </w:p>
    <w:p w14:paraId="64F9F669" w14:textId="25D13778" w:rsidR="001E1158" w:rsidRDefault="001E1158" w:rsidP="001E1158">
      <w:pPr>
        <w:jc w:val="both"/>
        <w:rPr>
          <w:rFonts w:cs="Times New Roman"/>
          <w:sz w:val="24"/>
          <w:szCs w:val="24"/>
        </w:rPr>
      </w:pPr>
      <w:r>
        <w:rPr>
          <w:rFonts w:cs="Times New Roman"/>
          <w:sz w:val="24"/>
          <w:szCs w:val="24"/>
        </w:rPr>
        <w:tab/>
      </w:r>
      <w:r w:rsidRPr="00CD3117">
        <w:rPr>
          <w:rFonts w:cs="Times New Roman"/>
          <w:sz w:val="24"/>
          <w:szCs w:val="24"/>
        </w:rPr>
        <w:t>Z Wieloletniego Planu Finansowego Państwa na lata 201</w:t>
      </w:r>
      <w:r w:rsidR="00766716">
        <w:rPr>
          <w:rFonts w:cs="Times New Roman"/>
          <w:sz w:val="24"/>
          <w:szCs w:val="24"/>
        </w:rPr>
        <w:t>8</w:t>
      </w:r>
      <w:r w:rsidRPr="00CD3117">
        <w:rPr>
          <w:rFonts w:cs="Times New Roman"/>
          <w:sz w:val="24"/>
          <w:szCs w:val="24"/>
        </w:rPr>
        <w:t>-202</w:t>
      </w:r>
      <w:r w:rsidR="00766716">
        <w:rPr>
          <w:rFonts w:cs="Times New Roman"/>
          <w:sz w:val="24"/>
          <w:szCs w:val="24"/>
        </w:rPr>
        <w:t>1</w:t>
      </w:r>
      <w:r w:rsidRPr="00CD3117">
        <w:rPr>
          <w:rFonts w:cs="Times New Roman"/>
          <w:sz w:val="24"/>
          <w:szCs w:val="24"/>
        </w:rPr>
        <w:t xml:space="preserve"> wynika</w:t>
      </w:r>
      <w:r>
        <w:rPr>
          <w:rFonts w:cs="Times New Roman"/>
          <w:sz w:val="24"/>
          <w:szCs w:val="24"/>
        </w:rPr>
        <w:t xml:space="preserve">,                                           </w:t>
      </w:r>
      <w:r w:rsidRPr="00CD3117">
        <w:rPr>
          <w:rFonts w:cs="Times New Roman"/>
          <w:sz w:val="24"/>
          <w:szCs w:val="24"/>
        </w:rPr>
        <w:t xml:space="preserve"> że o</w:t>
      </w:r>
      <w:r w:rsidRPr="00CD3117">
        <w:rPr>
          <w:iCs/>
          <w:sz w:val="24"/>
          <w:szCs w:val="24"/>
        </w:rPr>
        <w:t>pracowywane są zmiany systemowe zorientowane na stopniowy wzrost nakładów na ochronę zdrowia w relacji do PKB w kolejnych latach.  Zależnie od ostatecznego kształtu tych rozwiązań i rozstrzygnięć Rady Ministrów, struktura wydatków w 202</w:t>
      </w:r>
      <w:r w:rsidR="00A46B0C">
        <w:rPr>
          <w:iCs/>
          <w:sz w:val="24"/>
          <w:szCs w:val="24"/>
        </w:rPr>
        <w:t>1</w:t>
      </w:r>
      <w:r w:rsidRPr="00CD3117">
        <w:rPr>
          <w:iCs/>
          <w:sz w:val="24"/>
          <w:szCs w:val="24"/>
        </w:rPr>
        <w:t xml:space="preserve"> r. może ulec zmianie, przy zachowaniu łącznego limitu zgodnego ze stabilizującą regułą wydatkową. Wstępnie w  Wieloletnim Planie </w:t>
      </w:r>
      <w:r w:rsidRPr="00CD3117">
        <w:rPr>
          <w:rFonts w:cs="Times New Roman"/>
          <w:sz w:val="24"/>
          <w:szCs w:val="24"/>
        </w:rPr>
        <w:t xml:space="preserve"> Finansowym Państwa na lata 201</w:t>
      </w:r>
      <w:r w:rsidR="00A46B0C">
        <w:rPr>
          <w:rFonts w:cs="Times New Roman"/>
          <w:sz w:val="24"/>
          <w:szCs w:val="24"/>
        </w:rPr>
        <w:t>8</w:t>
      </w:r>
      <w:r w:rsidRPr="00CD3117">
        <w:rPr>
          <w:rFonts w:cs="Times New Roman"/>
          <w:sz w:val="24"/>
          <w:szCs w:val="24"/>
        </w:rPr>
        <w:t>-202</w:t>
      </w:r>
      <w:r w:rsidR="00A46B0C">
        <w:rPr>
          <w:rFonts w:cs="Times New Roman"/>
          <w:sz w:val="24"/>
          <w:szCs w:val="24"/>
        </w:rPr>
        <w:t>1</w:t>
      </w:r>
      <w:r w:rsidRPr="00CD3117">
        <w:rPr>
          <w:rFonts w:cs="Times New Roman"/>
          <w:sz w:val="24"/>
          <w:szCs w:val="24"/>
        </w:rPr>
        <w:t xml:space="preserve"> założono, że wydatki na ochronę zdrowia do 202</w:t>
      </w:r>
      <w:r w:rsidR="00A46B0C">
        <w:rPr>
          <w:rFonts w:cs="Times New Roman"/>
          <w:sz w:val="24"/>
          <w:szCs w:val="24"/>
        </w:rPr>
        <w:t>1</w:t>
      </w:r>
      <w:r w:rsidRPr="00CD3117">
        <w:rPr>
          <w:rFonts w:cs="Times New Roman"/>
          <w:sz w:val="24"/>
          <w:szCs w:val="24"/>
        </w:rPr>
        <w:t>r</w:t>
      </w:r>
      <w:r>
        <w:rPr>
          <w:rFonts w:cs="Times New Roman"/>
          <w:sz w:val="24"/>
          <w:szCs w:val="24"/>
        </w:rPr>
        <w:t>.</w:t>
      </w:r>
      <w:r w:rsidRPr="00CD3117">
        <w:rPr>
          <w:rFonts w:cs="Times New Roman"/>
          <w:sz w:val="24"/>
          <w:szCs w:val="24"/>
        </w:rPr>
        <w:t xml:space="preserve"> utrzymają się na poziomie 4,7% PKB.</w:t>
      </w:r>
      <w:r w:rsidR="001A0DD7">
        <w:rPr>
          <w:rFonts w:cs="Times New Roman"/>
          <w:sz w:val="24"/>
          <w:szCs w:val="24"/>
        </w:rPr>
        <w:t xml:space="preserve"> W przedstawionej analizie bardzo ostrożnie podeszliśmy do prognozowania przychodów.</w:t>
      </w:r>
      <w:r w:rsidR="006828C2">
        <w:rPr>
          <w:rFonts w:cs="Times New Roman"/>
          <w:sz w:val="24"/>
          <w:szCs w:val="24"/>
        </w:rPr>
        <w:t xml:space="preserve"> Rok 2020 został uaktualniony o faktyczne zmiany w finansowaniu, wprowadzone przez NFZ</w:t>
      </w:r>
      <w:r w:rsidR="00A762F0">
        <w:rPr>
          <w:rFonts w:cs="Times New Roman"/>
          <w:sz w:val="24"/>
          <w:szCs w:val="24"/>
        </w:rPr>
        <w:t xml:space="preserve"> w trakcie roku</w:t>
      </w:r>
      <w:r w:rsidR="006828C2">
        <w:rPr>
          <w:rFonts w:cs="Times New Roman"/>
          <w:sz w:val="24"/>
          <w:szCs w:val="24"/>
        </w:rPr>
        <w:t>.</w:t>
      </w:r>
      <w:r w:rsidR="001A0DD7">
        <w:rPr>
          <w:rFonts w:cs="Times New Roman"/>
          <w:sz w:val="24"/>
          <w:szCs w:val="24"/>
        </w:rPr>
        <w:t xml:space="preserve"> Założenia</w:t>
      </w:r>
      <w:r w:rsidR="006828C2">
        <w:rPr>
          <w:rFonts w:cs="Times New Roman"/>
          <w:sz w:val="24"/>
          <w:szCs w:val="24"/>
        </w:rPr>
        <w:t xml:space="preserve"> na lata 2021, 2022 </w:t>
      </w:r>
      <w:r w:rsidR="001A0DD7">
        <w:rPr>
          <w:rFonts w:cs="Times New Roman"/>
          <w:sz w:val="24"/>
          <w:szCs w:val="24"/>
        </w:rPr>
        <w:t xml:space="preserve"> ustaliliśmy przy prognozowanym wzroście </w:t>
      </w:r>
      <w:r w:rsidR="00BD14FD">
        <w:rPr>
          <w:rFonts w:cs="Times New Roman"/>
          <w:sz w:val="24"/>
          <w:szCs w:val="24"/>
        </w:rPr>
        <w:t xml:space="preserve">około </w:t>
      </w:r>
      <w:r w:rsidR="006828C2">
        <w:rPr>
          <w:rFonts w:cs="Times New Roman"/>
          <w:sz w:val="24"/>
          <w:szCs w:val="24"/>
        </w:rPr>
        <w:t xml:space="preserve">1,5 % do </w:t>
      </w:r>
      <w:r w:rsidR="00344D2C">
        <w:rPr>
          <w:rFonts w:cs="Times New Roman"/>
          <w:sz w:val="24"/>
          <w:szCs w:val="24"/>
        </w:rPr>
        <w:t>2</w:t>
      </w:r>
      <w:r w:rsidR="00766716">
        <w:rPr>
          <w:rFonts w:cs="Times New Roman"/>
          <w:sz w:val="24"/>
          <w:szCs w:val="24"/>
        </w:rPr>
        <w:t>,5</w:t>
      </w:r>
      <w:r w:rsidR="001A0DD7">
        <w:rPr>
          <w:rFonts w:cs="Times New Roman"/>
          <w:sz w:val="24"/>
          <w:szCs w:val="24"/>
        </w:rPr>
        <w:t xml:space="preserve"> %.</w:t>
      </w:r>
    </w:p>
    <w:p w14:paraId="646EFB8D" w14:textId="77777777" w:rsidR="001A0DD7" w:rsidRDefault="001A0DD7" w:rsidP="001E1158">
      <w:pPr>
        <w:jc w:val="both"/>
        <w:rPr>
          <w:rFonts w:cs="Times New Roman"/>
          <w:b/>
          <w:sz w:val="24"/>
          <w:szCs w:val="24"/>
        </w:rPr>
      </w:pPr>
    </w:p>
    <w:p w14:paraId="10B52F29" w14:textId="77777777" w:rsidR="001E1158" w:rsidRPr="00591042" w:rsidRDefault="001E1158" w:rsidP="001E1158">
      <w:pPr>
        <w:jc w:val="both"/>
        <w:rPr>
          <w:rFonts w:cs="Times New Roman"/>
          <w:b/>
          <w:sz w:val="24"/>
          <w:szCs w:val="24"/>
        </w:rPr>
      </w:pPr>
      <w:r w:rsidRPr="00591042">
        <w:rPr>
          <w:rFonts w:cs="Times New Roman"/>
          <w:b/>
          <w:sz w:val="24"/>
          <w:szCs w:val="24"/>
        </w:rPr>
        <w:t>Założenia do prognozy przychodów i kosztów</w:t>
      </w:r>
    </w:p>
    <w:p w14:paraId="11DEF0B1" w14:textId="5497F20B" w:rsidR="001E1158" w:rsidRPr="00CD3117" w:rsidRDefault="001E1158" w:rsidP="001E1158">
      <w:pPr>
        <w:autoSpaceDE w:val="0"/>
        <w:autoSpaceDN w:val="0"/>
        <w:adjustRightInd w:val="0"/>
        <w:spacing w:after="0" w:line="240" w:lineRule="auto"/>
        <w:jc w:val="both"/>
        <w:rPr>
          <w:rFonts w:eastAsiaTheme="minorEastAsia"/>
          <w:kern w:val="24"/>
          <w:sz w:val="24"/>
          <w:szCs w:val="24"/>
        </w:rPr>
      </w:pPr>
      <w:r>
        <w:rPr>
          <w:rFonts w:cs="Times New Roman"/>
          <w:sz w:val="24"/>
          <w:szCs w:val="24"/>
        </w:rPr>
        <w:tab/>
      </w:r>
      <w:r w:rsidRPr="00CD3117">
        <w:rPr>
          <w:rFonts w:cs="Times New Roman"/>
          <w:sz w:val="24"/>
          <w:szCs w:val="24"/>
        </w:rPr>
        <w:t>Podstawą określenia prognozowanych przycho</w:t>
      </w:r>
      <w:r w:rsidR="00F35104">
        <w:rPr>
          <w:rFonts w:cs="Times New Roman"/>
          <w:sz w:val="24"/>
          <w:szCs w:val="24"/>
        </w:rPr>
        <w:t>dów jest plan finansowy na 20</w:t>
      </w:r>
      <w:r w:rsidR="00766716">
        <w:rPr>
          <w:rFonts w:cs="Times New Roman"/>
          <w:sz w:val="24"/>
          <w:szCs w:val="24"/>
        </w:rPr>
        <w:t xml:space="preserve">20 </w:t>
      </w:r>
      <w:r>
        <w:rPr>
          <w:rFonts w:cs="Times New Roman"/>
          <w:sz w:val="24"/>
          <w:szCs w:val="24"/>
        </w:rPr>
        <w:t>r</w:t>
      </w:r>
      <w:r w:rsidRPr="00CD3117">
        <w:rPr>
          <w:rFonts w:cs="Times New Roman"/>
          <w:sz w:val="24"/>
          <w:szCs w:val="24"/>
        </w:rPr>
        <w:t xml:space="preserve">. </w:t>
      </w:r>
      <w:r>
        <w:rPr>
          <w:rFonts w:cs="Times New Roman"/>
          <w:sz w:val="24"/>
          <w:szCs w:val="24"/>
        </w:rPr>
        <w:t xml:space="preserve">                            </w:t>
      </w:r>
      <w:r w:rsidRPr="00CD3117">
        <w:rPr>
          <w:rFonts w:eastAsiaTheme="minorEastAsia"/>
          <w:kern w:val="24"/>
          <w:sz w:val="24"/>
          <w:szCs w:val="24"/>
        </w:rPr>
        <w:t xml:space="preserve">Do </w:t>
      </w:r>
      <w:r w:rsidR="00F35104">
        <w:rPr>
          <w:rFonts w:eastAsiaTheme="minorEastAsia"/>
          <w:kern w:val="24"/>
          <w:sz w:val="24"/>
          <w:szCs w:val="24"/>
        </w:rPr>
        <w:t>prognozy przychodów na lata 20</w:t>
      </w:r>
      <w:r w:rsidR="00766716">
        <w:rPr>
          <w:rFonts w:eastAsiaTheme="minorEastAsia"/>
          <w:kern w:val="24"/>
          <w:sz w:val="24"/>
          <w:szCs w:val="24"/>
        </w:rPr>
        <w:t>20</w:t>
      </w:r>
      <w:r w:rsidR="00F35104">
        <w:rPr>
          <w:rFonts w:eastAsiaTheme="minorEastAsia"/>
          <w:kern w:val="24"/>
          <w:sz w:val="24"/>
          <w:szCs w:val="24"/>
        </w:rPr>
        <w:t>-202</w:t>
      </w:r>
      <w:r w:rsidR="00766716">
        <w:rPr>
          <w:rFonts w:eastAsiaTheme="minorEastAsia"/>
          <w:kern w:val="24"/>
          <w:sz w:val="24"/>
          <w:szCs w:val="24"/>
        </w:rPr>
        <w:t>2</w:t>
      </w:r>
      <w:r w:rsidRPr="00CD3117">
        <w:rPr>
          <w:rFonts w:eastAsiaTheme="minorEastAsia"/>
          <w:kern w:val="24"/>
          <w:sz w:val="24"/>
          <w:szCs w:val="24"/>
        </w:rPr>
        <w:t xml:space="preserve"> przyjęto, że zakres realizowanych świadczeń ze środków publicznych będzie obejmował wszystkie zakresy dotychczasowej działalności  podmiotu.  </w:t>
      </w:r>
    </w:p>
    <w:p w14:paraId="30C48401" w14:textId="77777777" w:rsidR="001E1158" w:rsidRPr="00CD3117" w:rsidRDefault="001E1158" w:rsidP="001E1158">
      <w:pPr>
        <w:autoSpaceDE w:val="0"/>
        <w:autoSpaceDN w:val="0"/>
        <w:adjustRightInd w:val="0"/>
        <w:spacing w:after="0" w:line="240" w:lineRule="auto"/>
        <w:jc w:val="both"/>
        <w:rPr>
          <w:rFonts w:eastAsiaTheme="minorEastAsia"/>
          <w:kern w:val="24"/>
          <w:sz w:val="24"/>
          <w:szCs w:val="24"/>
        </w:rPr>
      </w:pPr>
    </w:p>
    <w:p w14:paraId="7E08DBB3" w14:textId="6435755C" w:rsidR="005643D0" w:rsidRDefault="000805CC" w:rsidP="00902004">
      <w:pPr>
        <w:ind w:firstLine="708"/>
        <w:jc w:val="both"/>
        <w:rPr>
          <w:rFonts w:eastAsiaTheme="minorEastAsia"/>
          <w:kern w:val="24"/>
          <w:sz w:val="24"/>
          <w:szCs w:val="24"/>
        </w:rPr>
      </w:pPr>
      <w:r>
        <w:rPr>
          <w:rFonts w:eastAsiaTheme="minorEastAsia"/>
          <w:kern w:val="24"/>
          <w:sz w:val="24"/>
          <w:szCs w:val="24"/>
        </w:rPr>
        <w:t>UST</w:t>
      </w:r>
      <w:r w:rsidR="001E1158">
        <w:rPr>
          <w:rFonts w:eastAsiaTheme="minorEastAsia"/>
          <w:kern w:val="24"/>
          <w:sz w:val="24"/>
          <w:szCs w:val="24"/>
        </w:rPr>
        <w:t>AWA z dnia 23 marca 2017</w:t>
      </w:r>
      <w:r w:rsidR="00E2506F">
        <w:rPr>
          <w:rFonts w:eastAsiaTheme="minorEastAsia"/>
          <w:kern w:val="24"/>
          <w:sz w:val="24"/>
          <w:szCs w:val="24"/>
        </w:rPr>
        <w:t xml:space="preserve"> </w:t>
      </w:r>
      <w:r w:rsidR="001E1158" w:rsidRPr="00CD3117">
        <w:rPr>
          <w:rFonts w:eastAsiaTheme="minorEastAsia"/>
          <w:kern w:val="24"/>
          <w:sz w:val="24"/>
          <w:szCs w:val="24"/>
        </w:rPr>
        <w:t>r. o zmianie ustawy o świadczeniach opieki zdrowotnej finansowanych ze środków publicznych</w:t>
      </w:r>
      <w:r w:rsidR="001E1158">
        <w:rPr>
          <w:rFonts w:eastAsiaTheme="minorEastAsia"/>
          <w:kern w:val="24"/>
          <w:sz w:val="24"/>
          <w:szCs w:val="24"/>
        </w:rPr>
        <w:t>,</w:t>
      </w:r>
      <w:r w:rsidR="001E1158" w:rsidRPr="00CD3117">
        <w:rPr>
          <w:rFonts w:eastAsiaTheme="minorEastAsia"/>
          <w:kern w:val="24"/>
          <w:sz w:val="24"/>
          <w:szCs w:val="24"/>
        </w:rPr>
        <w:t xml:space="preserve"> wprowadza zmiany w organizacji i finansowaniu świ</w:t>
      </w:r>
      <w:r>
        <w:rPr>
          <w:rFonts w:eastAsiaTheme="minorEastAsia"/>
          <w:kern w:val="24"/>
          <w:sz w:val="24"/>
          <w:szCs w:val="24"/>
        </w:rPr>
        <w:t>adczeń oraz określa kwalifikacje</w:t>
      </w:r>
      <w:r w:rsidR="001E1158" w:rsidRPr="00CD3117">
        <w:rPr>
          <w:rFonts w:eastAsiaTheme="minorEastAsia"/>
          <w:kern w:val="24"/>
          <w:sz w:val="24"/>
          <w:szCs w:val="24"/>
        </w:rPr>
        <w:t xml:space="preserve"> świadczeniodawcy do jednego z poziomów systemu zabezpieczenia oraz wskazanie profili systemu zabezpieczenia, zakresów lub rodzajów świadczeń, w ramach których będą udzielane świadczenia opieki zdrowotnej</w:t>
      </w:r>
      <w:r w:rsidR="001E1158">
        <w:rPr>
          <w:rFonts w:eastAsiaTheme="minorEastAsia"/>
          <w:kern w:val="24"/>
          <w:sz w:val="24"/>
          <w:szCs w:val="24"/>
        </w:rPr>
        <w:t xml:space="preserve"> </w:t>
      </w:r>
      <w:r w:rsidR="001E1158" w:rsidRPr="00CD3117">
        <w:rPr>
          <w:rFonts w:eastAsiaTheme="minorEastAsia"/>
          <w:kern w:val="24"/>
          <w:sz w:val="24"/>
          <w:szCs w:val="24"/>
        </w:rPr>
        <w:t>w systemie zabezpieczenia. Wykaz świadczeniodawców zakwalifikowanych do poszczególnych poziomów</w:t>
      </w:r>
      <w:r w:rsidR="00FF32CD">
        <w:rPr>
          <w:rFonts w:eastAsiaTheme="minorEastAsia"/>
          <w:kern w:val="24"/>
          <w:sz w:val="24"/>
          <w:szCs w:val="24"/>
        </w:rPr>
        <w:t xml:space="preserve"> systemu zabezpieczenia został</w:t>
      </w:r>
      <w:r w:rsidR="001E1158" w:rsidRPr="00CD3117">
        <w:rPr>
          <w:rFonts w:eastAsiaTheme="minorEastAsia"/>
          <w:kern w:val="24"/>
          <w:sz w:val="24"/>
          <w:szCs w:val="24"/>
        </w:rPr>
        <w:t xml:space="preserve"> </w:t>
      </w:r>
      <w:r w:rsidR="00F35104">
        <w:rPr>
          <w:rFonts w:eastAsiaTheme="minorEastAsia"/>
          <w:kern w:val="24"/>
          <w:sz w:val="24"/>
          <w:szCs w:val="24"/>
        </w:rPr>
        <w:t>ogłoszony  w  czerwcu</w:t>
      </w:r>
      <w:r w:rsidR="00FF32CD">
        <w:rPr>
          <w:rFonts w:eastAsiaTheme="minorEastAsia"/>
          <w:kern w:val="24"/>
          <w:sz w:val="24"/>
          <w:szCs w:val="24"/>
        </w:rPr>
        <w:t xml:space="preserve"> 2017 r. i  obowiązuje</w:t>
      </w:r>
      <w:r w:rsidR="001E1158" w:rsidRPr="00CD3117">
        <w:rPr>
          <w:rFonts w:eastAsiaTheme="minorEastAsia"/>
          <w:kern w:val="24"/>
          <w:sz w:val="24"/>
          <w:szCs w:val="24"/>
        </w:rPr>
        <w:t xml:space="preserve"> od dnia 1 października </w:t>
      </w:r>
      <w:r w:rsidR="001E1158">
        <w:rPr>
          <w:rFonts w:eastAsiaTheme="minorEastAsia"/>
          <w:kern w:val="24"/>
          <w:sz w:val="24"/>
          <w:szCs w:val="24"/>
        </w:rPr>
        <w:t>2017 r. do dnia 30 czerwca 2021</w:t>
      </w:r>
      <w:r w:rsidR="00E2506F">
        <w:rPr>
          <w:rFonts w:eastAsiaTheme="minorEastAsia"/>
          <w:kern w:val="24"/>
          <w:sz w:val="24"/>
          <w:szCs w:val="24"/>
        </w:rPr>
        <w:t xml:space="preserve"> </w:t>
      </w:r>
      <w:r>
        <w:rPr>
          <w:rFonts w:eastAsiaTheme="minorEastAsia"/>
          <w:kern w:val="24"/>
          <w:sz w:val="24"/>
          <w:szCs w:val="24"/>
        </w:rPr>
        <w:t>r. SP ZOZ</w:t>
      </w:r>
      <w:r w:rsidR="001E1158" w:rsidRPr="00CD3117">
        <w:rPr>
          <w:rFonts w:eastAsiaTheme="minorEastAsia"/>
          <w:kern w:val="24"/>
          <w:sz w:val="24"/>
          <w:szCs w:val="24"/>
        </w:rPr>
        <w:t xml:space="preserve"> spełnia wymogi do zakwalifikowania do systemu zabez</w:t>
      </w:r>
      <w:r>
        <w:rPr>
          <w:rFonts w:eastAsiaTheme="minorEastAsia"/>
          <w:kern w:val="24"/>
          <w:sz w:val="24"/>
          <w:szCs w:val="24"/>
        </w:rPr>
        <w:t>pieczenia w grupie: szpitale I stopnia.</w:t>
      </w:r>
      <w:r w:rsidR="001E1158" w:rsidRPr="00CD3117">
        <w:rPr>
          <w:rFonts w:eastAsiaTheme="minorEastAsia"/>
          <w:kern w:val="24"/>
          <w:sz w:val="24"/>
          <w:szCs w:val="24"/>
        </w:rPr>
        <w:t xml:space="preserve"> </w:t>
      </w:r>
    </w:p>
    <w:p w14:paraId="34E14ADA" w14:textId="2E46A2C4" w:rsidR="007F5286" w:rsidRDefault="007F5286" w:rsidP="00902004">
      <w:pPr>
        <w:ind w:firstLine="708"/>
        <w:jc w:val="both"/>
        <w:rPr>
          <w:rFonts w:eastAsiaTheme="minorEastAsia"/>
          <w:kern w:val="24"/>
          <w:sz w:val="24"/>
          <w:szCs w:val="24"/>
        </w:rPr>
      </w:pPr>
      <w:r>
        <w:rPr>
          <w:rFonts w:eastAsiaTheme="minorEastAsia"/>
          <w:kern w:val="24"/>
          <w:sz w:val="24"/>
          <w:szCs w:val="24"/>
        </w:rPr>
        <w:t xml:space="preserve">Prognoza </w:t>
      </w:r>
      <w:r w:rsidR="00F35104">
        <w:rPr>
          <w:rFonts w:eastAsiaTheme="minorEastAsia"/>
          <w:kern w:val="24"/>
          <w:sz w:val="24"/>
          <w:szCs w:val="24"/>
        </w:rPr>
        <w:t>przychodów na lata 20</w:t>
      </w:r>
      <w:r w:rsidR="00E2506F">
        <w:rPr>
          <w:rFonts w:eastAsiaTheme="minorEastAsia"/>
          <w:kern w:val="24"/>
          <w:sz w:val="24"/>
          <w:szCs w:val="24"/>
        </w:rPr>
        <w:t>20</w:t>
      </w:r>
      <w:r w:rsidR="00F35104">
        <w:rPr>
          <w:rFonts w:eastAsiaTheme="minorEastAsia"/>
          <w:kern w:val="24"/>
          <w:sz w:val="24"/>
          <w:szCs w:val="24"/>
        </w:rPr>
        <w:t xml:space="preserve"> – 202</w:t>
      </w:r>
      <w:r w:rsidR="00E2506F">
        <w:rPr>
          <w:rFonts w:eastAsiaTheme="minorEastAsia"/>
          <w:kern w:val="24"/>
          <w:sz w:val="24"/>
          <w:szCs w:val="24"/>
        </w:rPr>
        <w:t>2</w:t>
      </w:r>
      <w:r>
        <w:rPr>
          <w:rFonts w:eastAsiaTheme="minorEastAsia"/>
          <w:kern w:val="24"/>
          <w:sz w:val="24"/>
          <w:szCs w:val="24"/>
        </w:rPr>
        <w:t xml:space="preserve"> w </w:t>
      </w:r>
      <w:r w:rsidR="00F17153">
        <w:rPr>
          <w:rFonts w:eastAsiaTheme="minorEastAsia"/>
          <w:kern w:val="24"/>
          <w:sz w:val="24"/>
          <w:szCs w:val="24"/>
        </w:rPr>
        <w:t>Szpitalu w Szamotułach</w:t>
      </w:r>
      <w:r>
        <w:rPr>
          <w:rFonts w:eastAsiaTheme="minorEastAsia"/>
          <w:kern w:val="24"/>
          <w:sz w:val="24"/>
          <w:szCs w:val="24"/>
        </w:rPr>
        <w:t xml:space="preserve"> została sporządzona według zasad rozliczeń wynikających z obecnie obowiązującej umowy. </w:t>
      </w:r>
      <w:r w:rsidR="00FB5A4C">
        <w:rPr>
          <w:rFonts w:eastAsiaTheme="minorEastAsia"/>
          <w:kern w:val="24"/>
          <w:sz w:val="24"/>
          <w:szCs w:val="24"/>
        </w:rPr>
        <w:t xml:space="preserve"> W ciągu roku umowy mogą być aneksowane i mogą zmieniać się limity wcześniej przyznanych świadczeń.</w:t>
      </w:r>
    </w:p>
    <w:p w14:paraId="338420E9" w14:textId="70F101BB" w:rsidR="00A762F0" w:rsidRPr="00F352FF" w:rsidRDefault="00A762F0" w:rsidP="00F352FF">
      <w:pPr>
        <w:jc w:val="both"/>
        <w:rPr>
          <w:rFonts w:eastAsiaTheme="minorEastAsia"/>
          <w:kern w:val="24"/>
          <w:sz w:val="24"/>
          <w:szCs w:val="24"/>
        </w:rPr>
      </w:pPr>
      <w:r>
        <w:rPr>
          <w:rFonts w:eastAsiaTheme="minorEastAsia"/>
          <w:kern w:val="24"/>
          <w:sz w:val="24"/>
          <w:szCs w:val="24"/>
        </w:rPr>
        <w:tab/>
        <w:t xml:space="preserve">Realizacja nowej formy umowy z NFZ </w:t>
      </w:r>
      <w:r w:rsidR="00636735">
        <w:rPr>
          <w:rFonts w:eastAsiaTheme="minorEastAsia"/>
          <w:kern w:val="24"/>
          <w:sz w:val="24"/>
          <w:szCs w:val="24"/>
        </w:rPr>
        <w:t>–</w:t>
      </w:r>
      <w:r>
        <w:rPr>
          <w:rFonts w:eastAsiaTheme="minorEastAsia"/>
          <w:kern w:val="24"/>
          <w:sz w:val="24"/>
          <w:szCs w:val="24"/>
        </w:rPr>
        <w:t xml:space="preserve"> ryczałtu</w:t>
      </w:r>
      <w:r w:rsidR="00636735">
        <w:rPr>
          <w:rFonts w:eastAsiaTheme="minorEastAsia"/>
          <w:kern w:val="24"/>
          <w:sz w:val="24"/>
          <w:szCs w:val="24"/>
        </w:rPr>
        <w:t xml:space="preserve">, stwarza problemy w precyzyjnym określaniu jej wysokości na początku jej obowiązywania . Z dużym opóźnieniem informowani jesteśmy o wysokości kontraktu. Ma to wpływ na ustalenie na właściwym poziomie przychodów w planie finansowym na dany rok oraz określanie jakiejkolwiek strategii na przyszłe lata. </w:t>
      </w:r>
    </w:p>
    <w:p w14:paraId="42016B88" w14:textId="6AB06109" w:rsidR="001E1158" w:rsidRPr="00CD3117" w:rsidRDefault="004D06AD" w:rsidP="00902004">
      <w:pPr>
        <w:autoSpaceDE w:val="0"/>
        <w:autoSpaceDN w:val="0"/>
        <w:adjustRightInd w:val="0"/>
        <w:spacing w:after="0"/>
        <w:ind w:firstLine="708"/>
        <w:jc w:val="both"/>
        <w:rPr>
          <w:rFonts w:cs="Times New Roman"/>
          <w:bCs/>
          <w:sz w:val="24"/>
          <w:szCs w:val="24"/>
        </w:rPr>
      </w:pPr>
      <w:r>
        <w:rPr>
          <w:rFonts w:cs="Times New Roman"/>
          <w:bCs/>
          <w:sz w:val="24"/>
          <w:szCs w:val="24"/>
        </w:rPr>
        <w:t>Do chwili obecnej SP ZOZ nie jest w stanie dokładnie określić wysokości f</w:t>
      </w:r>
      <w:r w:rsidR="00F35104">
        <w:rPr>
          <w:rFonts w:cs="Times New Roman"/>
          <w:bCs/>
          <w:sz w:val="24"/>
          <w:szCs w:val="24"/>
        </w:rPr>
        <w:t>inansowania w latach 20</w:t>
      </w:r>
      <w:r w:rsidR="00E2506F">
        <w:rPr>
          <w:rFonts w:cs="Times New Roman"/>
          <w:bCs/>
          <w:sz w:val="24"/>
          <w:szCs w:val="24"/>
        </w:rPr>
        <w:t>20</w:t>
      </w:r>
      <w:r w:rsidR="00F35104">
        <w:rPr>
          <w:rFonts w:cs="Times New Roman"/>
          <w:bCs/>
          <w:sz w:val="24"/>
          <w:szCs w:val="24"/>
        </w:rPr>
        <w:t xml:space="preserve"> -202</w:t>
      </w:r>
      <w:r w:rsidR="00E2506F">
        <w:rPr>
          <w:rFonts w:cs="Times New Roman"/>
          <w:bCs/>
          <w:sz w:val="24"/>
          <w:szCs w:val="24"/>
        </w:rPr>
        <w:t>2</w:t>
      </w:r>
      <w:r>
        <w:rPr>
          <w:rFonts w:cs="Times New Roman"/>
          <w:bCs/>
          <w:sz w:val="24"/>
          <w:szCs w:val="24"/>
        </w:rPr>
        <w:t xml:space="preserve"> dlatego założyliśmy</w:t>
      </w:r>
      <w:r w:rsidR="007F5286">
        <w:rPr>
          <w:rFonts w:cs="Times New Roman"/>
          <w:bCs/>
          <w:sz w:val="24"/>
          <w:szCs w:val="24"/>
        </w:rPr>
        <w:t>, w ramach os</w:t>
      </w:r>
      <w:r w:rsidR="00F35104">
        <w:rPr>
          <w:rFonts w:cs="Times New Roman"/>
          <w:bCs/>
          <w:sz w:val="24"/>
          <w:szCs w:val="24"/>
        </w:rPr>
        <w:t>trożności prognozowania</w:t>
      </w:r>
      <w:r w:rsidR="00FB5A4C">
        <w:rPr>
          <w:rFonts w:cs="Times New Roman"/>
          <w:bCs/>
          <w:sz w:val="24"/>
          <w:szCs w:val="24"/>
        </w:rPr>
        <w:t xml:space="preserve">  na rok 2020, </w:t>
      </w:r>
      <w:r w:rsidR="00FB5A4C">
        <w:rPr>
          <w:rFonts w:cs="Times New Roman"/>
          <w:bCs/>
          <w:sz w:val="24"/>
          <w:szCs w:val="24"/>
        </w:rPr>
        <w:lastRenderedPageBreak/>
        <w:t>po analizie dotychczasowych zmian w kontraktach</w:t>
      </w:r>
      <w:r w:rsidR="006F13E3">
        <w:rPr>
          <w:rFonts w:cs="Times New Roman"/>
          <w:bCs/>
          <w:sz w:val="24"/>
          <w:szCs w:val="24"/>
        </w:rPr>
        <w:t>,</w:t>
      </w:r>
      <w:r w:rsidR="00FB5A4C">
        <w:rPr>
          <w:rFonts w:cs="Times New Roman"/>
          <w:bCs/>
          <w:sz w:val="24"/>
          <w:szCs w:val="24"/>
        </w:rPr>
        <w:t xml:space="preserve"> wzrost przychodów ze sprzedaż</w:t>
      </w:r>
      <w:r w:rsidR="006F13E3">
        <w:rPr>
          <w:rFonts w:cs="Times New Roman"/>
          <w:bCs/>
          <w:sz w:val="24"/>
          <w:szCs w:val="24"/>
        </w:rPr>
        <w:t xml:space="preserve"> usług medycznych</w:t>
      </w:r>
      <w:r w:rsidR="00FB5A4C">
        <w:rPr>
          <w:rFonts w:cs="Times New Roman"/>
          <w:bCs/>
          <w:sz w:val="24"/>
          <w:szCs w:val="24"/>
        </w:rPr>
        <w:t xml:space="preserve"> o 5,6 %  w stosunku do roku poprzedniego.</w:t>
      </w:r>
      <w:r w:rsidR="006F13E3">
        <w:rPr>
          <w:rFonts w:cs="Times New Roman"/>
          <w:bCs/>
          <w:sz w:val="24"/>
          <w:szCs w:val="24"/>
        </w:rPr>
        <w:t xml:space="preserve"> Jest to poziom realny i możliwy do osiągnięcia.</w:t>
      </w:r>
      <w:r w:rsidR="00FB5A4C">
        <w:rPr>
          <w:rFonts w:cs="Times New Roman"/>
          <w:bCs/>
          <w:sz w:val="24"/>
          <w:szCs w:val="24"/>
        </w:rPr>
        <w:t xml:space="preserve"> Natomiast na lata 2021, 202</w:t>
      </w:r>
      <w:r w:rsidR="00902004">
        <w:rPr>
          <w:rFonts w:cs="Times New Roman"/>
          <w:bCs/>
          <w:sz w:val="24"/>
          <w:szCs w:val="24"/>
        </w:rPr>
        <w:t>2</w:t>
      </w:r>
      <w:r w:rsidR="006F13E3">
        <w:rPr>
          <w:rFonts w:cs="Times New Roman"/>
          <w:bCs/>
          <w:sz w:val="24"/>
          <w:szCs w:val="24"/>
        </w:rPr>
        <w:t xml:space="preserve"> wzrost przychodów pozostawiliśmy na poziomie niższym</w:t>
      </w:r>
      <w:r w:rsidR="00902004">
        <w:rPr>
          <w:rFonts w:cs="Times New Roman"/>
          <w:bCs/>
          <w:sz w:val="24"/>
          <w:szCs w:val="24"/>
        </w:rPr>
        <w:t xml:space="preserve"> - </w:t>
      </w:r>
      <w:r w:rsidR="006F13E3">
        <w:rPr>
          <w:rFonts w:cs="Times New Roman"/>
          <w:bCs/>
          <w:sz w:val="24"/>
          <w:szCs w:val="24"/>
        </w:rPr>
        <w:t xml:space="preserve"> w granicach  1,5% do 2,5 %</w:t>
      </w:r>
      <w:r w:rsidR="00902004">
        <w:rPr>
          <w:rFonts w:cs="Times New Roman"/>
          <w:bCs/>
          <w:sz w:val="24"/>
          <w:szCs w:val="24"/>
        </w:rPr>
        <w:t xml:space="preserve"> w stosunku do roku 2020.</w:t>
      </w:r>
    </w:p>
    <w:p w14:paraId="4B870E2E" w14:textId="6F2C215A" w:rsidR="001E1158" w:rsidRDefault="001E1158" w:rsidP="001E1158">
      <w:pPr>
        <w:jc w:val="both"/>
        <w:rPr>
          <w:rFonts w:cs="Times New Roman"/>
          <w:bCs/>
          <w:sz w:val="24"/>
          <w:szCs w:val="24"/>
        </w:rPr>
      </w:pPr>
      <w:r>
        <w:rPr>
          <w:bCs/>
          <w:sz w:val="24"/>
          <w:szCs w:val="24"/>
        </w:rPr>
        <w:tab/>
      </w:r>
      <w:r w:rsidRPr="00CD3117">
        <w:rPr>
          <w:bCs/>
          <w:sz w:val="24"/>
          <w:szCs w:val="24"/>
        </w:rPr>
        <w:t>Kwoty kosztów i wydatków ujęte w prognozie stanowią koszty i wydatki związane                                                       z realizacją umów z płatnikiem publicznym oraz innych przychodów. W prognozach ujęto również z</w:t>
      </w:r>
      <w:r w:rsidRPr="00CD3117">
        <w:rPr>
          <w:rFonts w:cs="Times New Roman"/>
          <w:bCs/>
          <w:sz w:val="24"/>
          <w:szCs w:val="24"/>
        </w:rPr>
        <w:t>aplanowane do sf</w:t>
      </w:r>
      <w:r w:rsidR="00F352FF">
        <w:rPr>
          <w:rFonts w:cs="Times New Roman"/>
          <w:bCs/>
          <w:sz w:val="24"/>
          <w:szCs w:val="24"/>
        </w:rPr>
        <w:t xml:space="preserve">inansowania </w:t>
      </w:r>
      <w:r w:rsidRPr="00CD3117">
        <w:rPr>
          <w:rFonts w:cs="Times New Roman"/>
          <w:bCs/>
          <w:sz w:val="24"/>
          <w:szCs w:val="24"/>
        </w:rPr>
        <w:t xml:space="preserve"> wydatki   inwestycyj</w:t>
      </w:r>
      <w:r w:rsidR="00F35104">
        <w:rPr>
          <w:rFonts w:cs="Times New Roman"/>
          <w:bCs/>
          <w:sz w:val="24"/>
          <w:szCs w:val="24"/>
        </w:rPr>
        <w:t>ne na lata 20</w:t>
      </w:r>
      <w:r w:rsidR="00E2506F">
        <w:rPr>
          <w:rFonts w:cs="Times New Roman"/>
          <w:bCs/>
          <w:sz w:val="24"/>
          <w:szCs w:val="24"/>
        </w:rPr>
        <w:t>20</w:t>
      </w:r>
      <w:r w:rsidR="00F35104">
        <w:rPr>
          <w:rFonts w:cs="Times New Roman"/>
          <w:bCs/>
          <w:sz w:val="24"/>
          <w:szCs w:val="24"/>
        </w:rPr>
        <w:t>-202</w:t>
      </w:r>
      <w:r w:rsidR="00E2506F">
        <w:rPr>
          <w:rFonts w:cs="Times New Roman"/>
          <w:bCs/>
          <w:sz w:val="24"/>
          <w:szCs w:val="24"/>
        </w:rPr>
        <w:t xml:space="preserve">2 </w:t>
      </w:r>
      <w:r w:rsidRPr="00CD3117">
        <w:rPr>
          <w:rFonts w:cs="Times New Roman"/>
          <w:bCs/>
          <w:sz w:val="24"/>
          <w:szCs w:val="24"/>
        </w:rPr>
        <w:t>r.</w:t>
      </w:r>
    </w:p>
    <w:p w14:paraId="1737E962" w14:textId="77777777" w:rsidR="004F02AF" w:rsidRDefault="004F02AF" w:rsidP="001E1158">
      <w:pPr>
        <w:jc w:val="both"/>
        <w:rPr>
          <w:rFonts w:cs="Times New Roman"/>
          <w:bCs/>
          <w:sz w:val="24"/>
          <w:szCs w:val="24"/>
        </w:rPr>
      </w:pPr>
      <w:r>
        <w:rPr>
          <w:rFonts w:cs="Times New Roman"/>
          <w:bCs/>
          <w:sz w:val="24"/>
          <w:szCs w:val="24"/>
        </w:rPr>
        <w:t>Zasadniczą pozycję w kosztach zajmują wynagrodzenia wraz z pochodnymi.</w:t>
      </w:r>
    </w:p>
    <w:p w14:paraId="570112F1" w14:textId="24607B2C" w:rsidR="004F02AF" w:rsidRPr="00CD3117" w:rsidRDefault="004F02AF" w:rsidP="00902004">
      <w:pPr>
        <w:ind w:firstLine="708"/>
        <w:jc w:val="both"/>
        <w:rPr>
          <w:rFonts w:cs="Times New Roman"/>
          <w:bCs/>
          <w:sz w:val="24"/>
          <w:szCs w:val="24"/>
        </w:rPr>
      </w:pPr>
      <w:r>
        <w:rPr>
          <w:rFonts w:cs="Times New Roman"/>
          <w:bCs/>
          <w:sz w:val="24"/>
          <w:szCs w:val="24"/>
        </w:rPr>
        <w:t>Działania rządu zmierzają do sukcesywnego podwyższania kwoty minimaln</w:t>
      </w:r>
      <w:r w:rsidR="00E2506F">
        <w:rPr>
          <w:rFonts w:cs="Times New Roman"/>
          <w:bCs/>
          <w:sz w:val="24"/>
          <w:szCs w:val="24"/>
        </w:rPr>
        <w:t>ego wynagrodzenia</w:t>
      </w:r>
      <w:r>
        <w:rPr>
          <w:rFonts w:cs="Times New Roman"/>
          <w:bCs/>
          <w:sz w:val="24"/>
          <w:szCs w:val="24"/>
        </w:rPr>
        <w:t xml:space="preserve">. Trwają też prace nad regulacjami wynagrodzeń w służbie zdrowia. Wśród założeń jest ustalenie, że minimalne wynagrodzenie zasadnicze będzie stanowiło iloczyn kwoty bazowej i współczynnika określonego w załączniku do ustawy. W okresie przejściowym – </w:t>
      </w:r>
      <w:proofErr w:type="spellStart"/>
      <w:r>
        <w:rPr>
          <w:rFonts w:cs="Times New Roman"/>
          <w:bCs/>
          <w:sz w:val="24"/>
          <w:szCs w:val="24"/>
        </w:rPr>
        <w:t>tj</w:t>
      </w:r>
      <w:proofErr w:type="spellEnd"/>
      <w:r>
        <w:rPr>
          <w:rFonts w:cs="Times New Roman"/>
          <w:bCs/>
          <w:sz w:val="24"/>
          <w:szCs w:val="24"/>
        </w:rPr>
        <w:t xml:space="preserve"> do 31 grudnia 2021r kwota bazowa zosta</w:t>
      </w:r>
      <w:r w:rsidR="00344D2C">
        <w:rPr>
          <w:rFonts w:cs="Times New Roman"/>
          <w:bCs/>
          <w:sz w:val="24"/>
          <w:szCs w:val="24"/>
        </w:rPr>
        <w:t>ła</w:t>
      </w:r>
      <w:r>
        <w:rPr>
          <w:rFonts w:cs="Times New Roman"/>
          <w:bCs/>
          <w:sz w:val="24"/>
          <w:szCs w:val="24"/>
        </w:rPr>
        <w:t xml:space="preserve"> ustalona na poziomie 3 900 zł brutto. Na chwilę obecną nie posiadamy przeliczenia wszystkich wynagrodzeń wg zasad proponowanych przez ustawodawcę, dlatego wzrost wynagrodzeń</w:t>
      </w:r>
      <w:r w:rsidR="008E3620">
        <w:rPr>
          <w:rFonts w:cs="Times New Roman"/>
          <w:bCs/>
          <w:sz w:val="24"/>
          <w:szCs w:val="24"/>
        </w:rPr>
        <w:t xml:space="preserve"> ustalono na poziomie </w:t>
      </w:r>
      <w:r w:rsidR="005A5A93">
        <w:rPr>
          <w:rFonts w:cs="Times New Roman"/>
          <w:bCs/>
          <w:sz w:val="24"/>
          <w:szCs w:val="24"/>
        </w:rPr>
        <w:t xml:space="preserve">około </w:t>
      </w:r>
      <w:r w:rsidR="00DE4147">
        <w:rPr>
          <w:rFonts w:cs="Times New Roman"/>
          <w:bCs/>
          <w:sz w:val="24"/>
          <w:szCs w:val="24"/>
        </w:rPr>
        <w:t>2</w:t>
      </w:r>
      <w:r w:rsidR="005A5A93">
        <w:rPr>
          <w:rFonts w:cs="Times New Roman"/>
          <w:bCs/>
          <w:sz w:val="24"/>
          <w:szCs w:val="24"/>
        </w:rPr>
        <w:t>,5</w:t>
      </w:r>
      <w:r>
        <w:rPr>
          <w:rFonts w:cs="Times New Roman"/>
          <w:bCs/>
          <w:sz w:val="24"/>
          <w:szCs w:val="24"/>
        </w:rPr>
        <w:t xml:space="preserve"> % rocznie.</w:t>
      </w:r>
      <w:r w:rsidR="00DE4147">
        <w:rPr>
          <w:rFonts w:cs="Times New Roman"/>
          <w:bCs/>
          <w:sz w:val="24"/>
          <w:szCs w:val="24"/>
        </w:rPr>
        <w:t xml:space="preserve"> </w:t>
      </w:r>
      <w:r w:rsidR="00282E53">
        <w:rPr>
          <w:rFonts w:cs="Times New Roman"/>
          <w:bCs/>
          <w:sz w:val="24"/>
          <w:szCs w:val="24"/>
        </w:rPr>
        <w:t>W</w:t>
      </w:r>
      <w:r w:rsidR="00DE4147">
        <w:rPr>
          <w:rFonts w:cs="Times New Roman"/>
          <w:bCs/>
          <w:sz w:val="24"/>
          <w:szCs w:val="24"/>
        </w:rPr>
        <w:t xml:space="preserve"> szacunku uwzględniono</w:t>
      </w:r>
      <w:r w:rsidR="00282E53">
        <w:rPr>
          <w:rFonts w:cs="Times New Roman"/>
          <w:bCs/>
          <w:sz w:val="24"/>
          <w:szCs w:val="24"/>
        </w:rPr>
        <w:t xml:space="preserve"> też</w:t>
      </w:r>
      <w:r w:rsidR="00DE4147">
        <w:rPr>
          <w:rFonts w:cs="Times New Roman"/>
          <w:bCs/>
          <w:sz w:val="24"/>
          <w:szCs w:val="24"/>
        </w:rPr>
        <w:t xml:space="preserve"> wzrost minimum socjalnego do poziomu 2 600,00 zł brutto</w:t>
      </w:r>
      <w:r w:rsidR="00F17153">
        <w:rPr>
          <w:rFonts w:cs="Times New Roman"/>
          <w:bCs/>
          <w:sz w:val="24"/>
          <w:szCs w:val="24"/>
        </w:rPr>
        <w:t xml:space="preserve"> a od stycznia 2021 r – 2 800,00 zł.</w:t>
      </w:r>
    </w:p>
    <w:p w14:paraId="5F40862F" w14:textId="77777777" w:rsidR="007F5286" w:rsidRDefault="007F5286" w:rsidP="001E1158">
      <w:pPr>
        <w:jc w:val="both"/>
        <w:rPr>
          <w:b/>
          <w:bCs/>
          <w:sz w:val="24"/>
          <w:szCs w:val="24"/>
        </w:rPr>
      </w:pPr>
    </w:p>
    <w:tbl>
      <w:tblPr>
        <w:tblW w:w="8662" w:type="dxa"/>
        <w:tblInd w:w="55" w:type="dxa"/>
        <w:tblCellMar>
          <w:left w:w="70" w:type="dxa"/>
          <w:right w:w="70" w:type="dxa"/>
        </w:tblCellMar>
        <w:tblLook w:val="04A0" w:firstRow="1" w:lastRow="0" w:firstColumn="1" w:lastColumn="0" w:noHBand="0" w:noVBand="1"/>
      </w:tblPr>
      <w:tblGrid>
        <w:gridCol w:w="1774"/>
        <w:gridCol w:w="1927"/>
        <w:gridCol w:w="889"/>
        <w:gridCol w:w="812"/>
        <w:gridCol w:w="889"/>
        <w:gridCol w:w="812"/>
        <w:gridCol w:w="889"/>
        <w:gridCol w:w="812"/>
      </w:tblGrid>
      <w:tr w:rsidR="00252190" w:rsidRPr="00252190" w14:paraId="4E377164" w14:textId="77777777" w:rsidTr="00252190">
        <w:trPr>
          <w:trHeight w:val="795"/>
        </w:trPr>
        <w:tc>
          <w:tcPr>
            <w:tcW w:w="8662" w:type="dxa"/>
            <w:gridSpan w:val="8"/>
            <w:tcBorders>
              <w:top w:val="nil"/>
              <w:left w:val="nil"/>
              <w:bottom w:val="single" w:sz="8" w:space="0" w:color="auto"/>
              <w:right w:val="nil"/>
            </w:tcBorders>
            <w:shd w:val="clear" w:color="000000" w:fill="FFFFFF"/>
            <w:vAlign w:val="center"/>
            <w:hideMark/>
          </w:tcPr>
          <w:p w14:paraId="4968A2B9" w14:textId="6205FEB0" w:rsidR="00252190" w:rsidRPr="00252190" w:rsidRDefault="00252190" w:rsidP="00252190">
            <w:pPr>
              <w:spacing w:after="0" w:line="240" w:lineRule="auto"/>
              <w:jc w:val="center"/>
              <w:rPr>
                <w:rFonts w:ascii="Garamond" w:eastAsia="Times New Roman" w:hAnsi="Garamond" w:cs="Arial"/>
                <w:b/>
                <w:bCs/>
                <w:lang w:eastAsia="pl-PL"/>
              </w:rPr>
            </w:pPr>
            <w:bookmarkStart w:id="0" w:name="RANGE!A2:H22"/>
            <w:r w:rsidRPr="00252190">
              <w:rPr>
                <w:rFonts w:ascii="Garamond" w:eastAsia="Times New Roman" w:hAnsi="Garamond" w:cs="Arial"/>
                <w:b/>
                <w:bCs/>
                <w:lang w:eastAsia="pl-PL"/>
              </w:rPr>
              <w:t>TABELA PODSUMOWUJĄCA WYNIKI OCENY SYTUACJI EKONOMICZNO-FINANSOWEJ -  PROGNO</w:t>
            </w:r>
            <w:r w:rsidR="008E3620">
              <w:rPr>
                <w:rFonts w:ascii="Garamond" w:eastAsia="Times New Roman" w:hAnsi="Garamond" w:cs="Arial"/>
                <w:b/>
                <w:bCs/>
                <w:lang w:eastAsia="pl-PL"/>
              </w:rPr>
              <w:t>ZA NA LATA 20</w:t>
            </w:r>
            <w:r w:rsidR="00DE4147">
              <w:rPr>
                <w:rFonts w:ascii="Garamond" w:eastAsia="Times New Roman" w:hAnsi="Garamond" w:cs="Arial"/>
                <w:b/>
                <w:bCs/>
                <w:lang w:eastAsia="pl-PL"/>
              </w:rPr>
              <w:t>20</w:t>
            </w:r>
            <w:r w:rsidRPr="00252190">
              <w:rPr>
                <w:rFonts w:ascii="Garamond" w:eastAsia="Times New Roman" w:hAnsi="Garamond" w:cs="Arial"/>
                <w:b/>
                <w:bCs/>
                <w:lang w:eastAsia="pl-PL"/>
              </w:rPr>
              <w:t>-20</w:t>
            </w:r>
            <w:bookmarkEnd w:id="0"/>
            <w:r w:rsidR="008E3620">
              <w:rPr>
                <w:rFonts w:ascii="Garamond" w:eastAsia="Times New Roman" w:hAnsi="Garamond" w:cs="Arial"/>
                <w:b/>
                <w:bCs/>
                <w:lang w:eastAsia="pl-PL"/>
              </w:rPr>
              <w:t>2</w:t>
            </w:r>
            <w:r w:rsidR="00DE4147">
              <w:rPr>
                <w:rFonts w:ascii="Garamond" w:eastAsia="Times New Roman" w:hAnsi="Garamond" w:cs="Arial"/>
                <w:b/>
                <w:bCs/>
                <w:lang w:eastAsia="pl-PL"/>
              </w:rPr>
              <w:t>2</w:t>
            </w:r>
          </w:p>
        </w:tc>
      </w:tr>
      <w:tr w:rsidR="00252190" w:rsidRPr="00252190" w14:paraId="71C5F760" w14:textId="77777777" w:rsidTr="00252190">
        <w:trPr>
          <w:trHeight w:val="330"/>
        </w:trPr>
        <w:tc>
          <w:tcPr>
            <w:tcW w:w="1774" w:type="dxa"/>
            <w:vMerge w:val="restart"/>
            <w:tcBorders>
              <w:top w:val="nil"/>
              <w:left w:val="single" w:sz="8" w:space="0" w:color="auto"/>
              <w:bottom w:val="single" w:sz="8" w:space="0" w:color="000000"/>
              <w:right w:val="single" w:sz="8" w:space="0" w:color="auto"/>
            </w:tcBorders>
            <w:shd w:val="clear" w:color="000000" w:fill="FFCC00"/>
            <w:noWrap/>
            <w:vAlign w:val="center"/>
            <w:hideMark/>
          </w:tcPr>
          <w:p w14:paraId="4005EF88" w14:textId="77777777" w:rsidR="00252190" w:rsidRPr="00252190" w:rsidRDefault="00252190" w:rsidP="00252190">
            <w:pPr>
              <w:spacing w:after="0" w:line="240" w:lineRule="auto"/>
              <w:jc w:val="center"/>
              <w:rPr>
                <w:rFonts w:ascii="Garamond" w:eastAsia="Times New Roman" w:hAnsi="Garamond" w:cs="Arial"/>
                <w:sz w:val="20"/>
                <w:szCs w:val="20"/>
                <w:lang w:eastAsia="pl-PL"/>
              </w:rPr>
            </w:pPr>
            <w:r w:rsidRPr="00252190">
              <w:rPr>
                <w:rFonts w:ascii="Garamond" w:eastAsia="Times New Roman" w:hAnsi="Garamond" w:cs="Arial"/>
                <w:sz w:val="20"/>
                <w:szCs w:val="20"/>
                <w:lang w:eastAsia="pl-PL"/>
              </w:rPr>
              <w:t>Grupa</w:t>
            </w:r>
          </w:p>
        </w:tc>
        <w:tc>
          <w:tcPr>
            <w:tcW w:w="1927" w:type="dxa"/>
            <w:vMerge w:val="restart"/>
            <w:tcBorders>
              <w:top w:val="nil"/>
              <w:left w:val="single" w:sz="8" w:space="0" w:color="auto"/>
              <w:bottom w:val="single" w:sz="8" w:space="0" w:color="000000"/>
              <w:right w:val="nil"/>
            </w:tcBorders>
            <w:shd w:val="clear" w:color="000000" w:fill="FFCC00"/>
            <w:vAlign w:val="center"/>
            <w:hideMark/>
          </w:tcPr>
          <w:p w14:paraId="3EC304F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Wskaźniki</w:t>
            </w:r>
          </w:p>
        </w:tc>
        <w:tc>
          <w:tcPr>
            <w:tcW w:w="1559" w:type="dxa"/>
            <w:gridSpan w:val="2"/>
            <w:tcBorders>
              <w:top w:val="single" w:sz="8" w:space="0" w:color="auto"/>
              <w:left w:val="single" w:sz="8" w:space="0" w:color="auto"/>
              <w:bottom w:val="single" w:sz="4" w:space="0" w:color="auto"/>
              <w:right w:val="single" w:sz="8" w:space="0" w:color="000000"/>
            </w:tcBorders>
            <w:shd w:val="clear" w:color="000000" w:fill="FFCC00"/>
            <w:vAlign w:val="center"/>
            <w:hideMark/>
          </w:tcPr>
          <w:p w14:paraId="5AA1E898" w14:textId="73EC0EDF"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DE4147">
              <w:rPr>
                <w:rFonts w:ascii="Garamond" w:eastAsia="Times New Roman" w:hAnsi="Garamond" w:cs="Arial"/>
                <w:b/>
                <w:bCs/>
                <w:sz w:val="18"/>
                <w:szCs w:val="18"/>
                <w:lang w:eastAsia="pl-PL"/>
              </w:rPr>
              <w:t>20</w:t>
            </w:r>
          </w:p>
        </w:tc>
        <w:tc>
          <w:tcPr>
            <w:tcW w:w="1701" w:type="dxa"/>
            <w:gridSpan w:val="2"/>
            <w:tcBorders>
              <w:top w:val="single" w:sz="8" w:space="0" w:color="auto"/>
              <w:left w:val="nil"/>
              <w:bottom w:val="single" w:sz="4" w:space="0" w:color="auto"/>
              <w:right w:val="nil"/>
            </w:tcBorders>
            <w:shd w:val="clear" w:color="000000" w:fill="FFCC00"/>
            <w:vAlign w:val="center"/>
            <w:hideMark/>
          </w:tcPr>
          <w:p w14:paraId="1064F4E6" w14:textId="1A3EFB3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1A5B47">
              <w:rPr>
                <w:rFonts w:ascii="Garamond" w:eastAsia="Times New Roman" w:hAnsi="Garamond" w:cs="Arial"/>
                <w:b/>
                <w:bCs/>
                <w:sz w:val="18"/>
                <w:szCs w:val="18"/>
                <w:lang w:eastAsia="pl-PL"/>
              </w:rPr>
              <w:t>2</w:t>
            </w:r>
            <w:r w:rsidR="00DE4147">
              <w:rPr>
                <w:rFonts w:ascii="Garamond" w:eastAsia="Times New Roman" w:hAnsi="Garamond" w:cs="Arial"/>
                <w:b/>
                <w:bCs/>
                <w:sz w:val="18"/>
                <w:szCs w:val="18"/>
                <w:lang w:eastAsia="pl-PL"/>
              </w:rPr>
              <w:t>1</w:t>
            </w:r>
          </w:p>
        </w:tc>
        <w:tc>
          <w:tcPr>
            <w:tcW w:w="1701" w:type="dxa"/>
            <w:gridSpan w:val="2"/>
            <w:tcBorders>
              <w:top w:val="single" w:sz="8" w:space="0" w:color="auto"/>
              <w:left w:val="single" w:sz="8" w:space="0" w:color="auto"/>
              <w:bottom w:val="single" w:sz="4" w:space="0" w:color="auto"/>
              <w:right w:val="single" w:sz="8" w:space="0" w:color="000000"/>
            </w:tcBorders>
            <w:shd w:val="clear" w:color="000000" w:fill="FFCC00"/>
            <w:vAlign w:val="center"/>
            <w:hideMark/>
          </w:tcPr>
          <w:p w14:paraId="0C13E1B1" w14:textId="6E6A0CDA"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8E3620">
              <w:rPr>
                <w:rFonts w:ascii="Garamond" w:eastAsia="Times New Roman" w:hAnsi="Garamond" w:cs="Arial"/>
                <w:b/>
                <w:bCs/>
                <w:sz w:val="18"/>
                <w:szCs w:val="18"/>
                <w:lang w:eastAsia="pl-PL"/>
              </w:rPr>
              <w:t>2</w:t>
            </w:r>
            <w:r w:rsidR="00DE4147">
              <w:rPr>
                <w:rFonts w:ascii="Garamond" w:eastAsia="Times New Roman" w:hAnsi="Garamond" w:cs="Arial"/>
                <w:b/>
                <w:bCs/>
                <w:sz w:val="18"/>
                <w:szCs w:val="18"/>
                <w:lang w:eastAsia="pl-PL"/>
              </w:rPr>
              <w:t>2</w:t>
            </w:r>
          </w:p>
        </w:tc>
      </w:tr>
      <w:tr w:rsidR="00252190" w:rsidRPr="00252190" w14:paraId="7A18B991" w14:textId="77777777" w:rsidTr="00252190">
        <w:trPr>
          <w:trHeight w:val="540"/>
        </w:trPr>
        <w:tc>
          <w:tcPr>
            <w:tcW w:w="1774" w:type="dxa"/>
            <w:vMerge/>
            <w:tcBorders>
              <w:top w:val="nil"/>
              <w:left w:val="single" w:sz="8" w:space="0" w:color="auto"/>
              <w:bottom w:val="single" w:sz="8" w:space="0" w:color="000000"/>
              <w:right w:val="single" w:sz="8" w:space="0" w:color="auto"/>
            </w:tcBorders>
            <w:vAlign w:val="center"/>
            <w:hideMark/>
          </w:tcPr>
          <w:p w14:paraId="52B000EE"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vMerge/>
            <w:tcBorders>
              <w:top w:val="nil"/>
              <w:left w:val="single" w:sz="8" w:space="0" w:color="auto"/>
              <w:bottom w:val="single" w:sz="8" w:space="0" w:color="000000"/>
              <w:right w:val="nil"/>
            </w:tcBorders>
            <w:vAlign w:val="center"/>
            <w:hideMark/>
          </w:tcPr>
          <w:p w14:paraId="45208965" w14:textId="77777777" w:rsidR="00252190" w:rsidRPr="00252190" w:rsidRDefault="00252190" w:rsidP="00252190">
            <w:pPr>
              <w:spacing w:after="0" w:line="240" w:lineRule="auto"/>
              <w:rPr>
                <w:rFonts w:ascii="Garamond" w:eastAsia="Times New Roman" w:hAnsi="Garamond" w:cs="Arial"/>
                <w:lang w:eastAsia="pl-PL"/>
              </w:rPr>
            </w:pPr>
          </w:p>
        </w:tc>
        <w:tc>
          <w:tcPr>
            <w:tcW w:w="747" w:type="dxa"/>
            <w:tcBorders>
              <w:top w:val="nil"/>
              <w:left w:val="single" w:sz="8" w:space="0" w:color="auto"/>
              <w:bottom w:val="single" w:sz="8" w:space="0" w:color="auto"/>
              <w:right w:val="single" w:sz="4" w:space="0" w:color="auto"/>
            </w:tcBorders>
            <w:shd w:val="clear" w:color="000000" w:fill="FFCC00"/>
            <w:vAlign w:val="center"/>
            <w:hideMark/>
          </w:tcPr>
          <w:p w14:paraId="0C43C6DB"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single" w:sz="8" w:space="0" w:color="auto"/>
            </w:tcBorders>
            <w:shd w:val="clear" w:color="000000" w:fill="FFCC00"/>
            <w:vAlign w:val="center"/>
            <w:hideMark/>
          </w:tcPr>
          <w:p w14:paraId="1F3066E6"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c>
          <w:tcPr>
            <w:tcW w:w="889" w:type="dxa"/>
            <w:tcBorders>
              <w:top w:val="nil"/>
              <w:left w:val="nil"/>
              <w:bottom w:val="single" w:sz="8" w:space="0" w:color="auto"/>
              <w:right w:val="single" w:sz="4" w:space="0" w:color="auto"/>
            </w:tcBorders>
            <w:shd w:val="clear" w:color="000000" w:fill="FFCC00"/>
            <w:vAlign w:val="center"/>
            <w:hideMark/>
          </w:tcPr>
          <w:p w14:paraId="1EE846E5"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nil"/>
            </w:tcBorders>
            <w:shd w:val="clear" w:color="000000" w:fill="FFCC00"/>
            <w:vAlign w:val="center"/>
            <w:hideMark/>
          </w:tcPr>
          <w:p w14:paraId="4FF481A7"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c>
          <w:tcPr>
            <w:tcW w:w="889" w:type="dxa"/>
            <w:tcBorders>
              <w:top w:val="nil"/>
              <w:left w:val="single" w:sz="8" w:space="0" w:color="auto"/>
              <w:bottom w:val="single" w:sz="8" w:space="0" w:color="auto"/>
              <w:right w:val="single" w:sz="4" w:space="0" w:color="auto"/>
            </w:tcBorders>
            <w:shd w:val="clear" w:color="000000" w:fill="FFCC00"/>
            <w:vAlign w:val="center"/>
            <w:hideMark/>
          </w:tcPr>
          <w:p w14:paraId="721EC1ED"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single" w:sz="8" w:space="0" w:color="auto"/>
            </w:tcBorders>
            <w:shd w:val="clear" w:color="000000" w:fill="FFCC00"/>
            <w:vAlign w:val="center"/>
            <w:hideMark/>
          </w:tcPr>
          <w:p w14:paraId="21028E45"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r>
      <w:tr w:rsidR="00252190" w:rsidRPr="00252190" w14:paraId="75750768" w14:textId="77777777" w:rsidTr="00252190">
        <w:trPr>
          <w:trHeight w:val="900"/>
        </w:trPr>
        <w:tc>
          <w:tcPr>
            <w:tcW w:w="1774" w:type="dxa"/>
            <w:vMerge w:val="restart"/>
            <w:tcBorders>
              <w:top w:val="nil"/>
              <w:left w:val="single" w:sz="8" w:space="0" w:color="auto"/>
              <w:bottom w:val="single" w:sz="8" w:space="0" w:color="000000"/>
              <w:right w:val="single" w:sz="8" w:space="0" w:color="auto"/>
            </w:tcBorders>
            <w:shd w:val="clear" w:color="000000" w:fill="969696"/>
            <w:vAlign w:val="center"/>
            <w:hideMark/>
          </w:tcPr>
          <w:p w14:paraId="2193DAFA"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 WSKAŹNIKI ZYSKOWNOŚCI</w:t>
            </w:r>
          </w:p>
        </w:tc>
        <w:tc>
          <w:tcPr>
            <w:tcW w:w="1927" w:type="dxa"/>
            <w:tcBorders>
              <w:top w:val="nil"/>
              <w:left w:val="nil"/>
              <w:bottom w:val="single" w:sz="4" w:space="0" w:color="auto"/>
              <w:right w:val="nil"/>
            </w:tcBorders>
            <w:shd w:val="clear" w:color="auto" w:fill="auto"/>
            <w:vAlign w:val="center"/>
            <w:hideMark/>
          </w:tcPr>
          <w:p w14:paraId="4044607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netto  (%)                                                           </w:t>
            </w:r>
          </w:p>
        </w:tc>
        <w:tc>
          <w:tcPr>
            <w:tcW w:w="74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A369A0B" w14:textId="50D0BDBE" w:rsidR="00252190" w:rsidRPr="00252190" w:rsidRDefault="006F13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0,15</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single" w:sz="8" w:space="0" w:color="auto"/>
            </w:tcBorders>
            <w:shd w:val="clear" w:color="000000" w:fill="FFFFFF"/>
            <w:vAlign w:val="center"/>
            <w:hideMark/>
          </w:tcPr>
          <w:p w14:paraId="3BC04A6C" w14:textId="2E319A4D" w:rsidR="00252190" w:rsidRPr="00252190" w:rsidRDefault="006F13E3"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14:paraId="5AF3F470" w14:textId="035A62F4" w:rsidR="00252190" w:rsidRPr="00252190" w:rsidRDefault="006F13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0,02</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nil"/>
            </w:tcBorders>
            <w:shd w:val="clear" w:color="000000" w:fill="FFFFFF"/>
            <w:vAlign w:val="center"/>
            <w:hideMark/>
          </w:tcPr>
          <w:p w14:paraId="5BF55968" w14:textId="47402C7C" w:rsidR="00252190" w:rsidRPr="00252190" w:rsidRDefault="006F13E3"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c>
          <w:tcPr>
            <w:tcW w:w="88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E73DA1F" w14:textId="3CF3F853" w:rsidR="00252190" w:rsidRPr="00252190" w:rsidRDefault="006F13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0,01</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single" w:sz="8" w:space="0" w:color="auto"/>
            </w:tcBorders>
            <w:shd w:val="clear" w:color="000000" w:fill="FFFFFF"/>
            <w:vAlign w:val="center"/>
            <w:hideMark/>
          </w:tcPr>
          <w:p w14:paraId="6D83D451" w14:textId="35DB3F13" w:rsidR="00252190" w:rsidRPr="00252190" w:rsidRDefault="006F13E3"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r>
      <w:tr w:rsidR="00252190" w:rsidRPr="00252190" w14:paraId="05C064AA" w14:textId="77777777" w:rsidTr="00252190">
        <w:trPr>
          <w:trHeight w:val="1230"/>
        </w:trPr>
        <w:tc>
          <w:tcPr>
            <w:tcW w:w="1774" w:type="dxa"/>
            <w:vMerge/>
            <w:tcBorders>
              <w:top w:val="nil"/>
              <w:left w:val="single" w:sz="8" w:space="0" w:color="auto"/>
              <w:bottom w:val="single" w:sz="8" w:space="0" w:color="000000"/>
              <w:right w:val="single" w:sz="8" w:space="0" w:color="auto"/>
            </w:tcBorders>
            <w:vAlign w:val="center"/>
            <w:hideMark/>
          </w:tcPr>
          <w:p w14:paraId="25AA14D9"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08EE8A40"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działalności operacyjnej (%)            </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423A5C51" w14:textId="50C965CA" w:rsidR="00252190" w:rsidRPr="00252190" w:rsidRDefault="006F13E3" w:rsidP="00FF32CD">
            <w:pPr>
              <w:spacing w:after="0" w:line="240" w:lineRule="auto"/>
              <w:rPr>
                <w:rFonts w:ascii="Garamond" w:eastAsia="Times New Roman" w:hAnsi="Garamond" w:cs="Arial"/>
                <w:lang w:eastAsia="pl-PL"/>
              </w:rPr>
            </w:pPr>
            <w:r>
              <w:rPr>
                <w:rFonts w:ascii="Garamond" w:eastAsia="Times New Roman" w:hAnsi="Garamond" w:cs="Arial"/>
                <w:lang w:eastAsia="pl-PL"/>
              </w:rPr>
              <w:t>0,22</w:t>
            </w:r>
            <w:r w:rsidR="000D201E">
              <w:rPr>
                <w:rFonts w:ascii="Garamond" w:eastAsia="Times New Roman" w:hAnsi="Garamond" w:cs="Arial"/>
                <w:lang w:eastAsia="pl-PL"/>
              </w:rPr>
              <w:t xml:space="preserve"> </w:t>
            </w:r>
            <w:r w:rsidR="00FF32CD">
              <w:rPr>
                <w:rFonts w:ascii="Garamond" w:eastAsia="Times New Roman" w:hAnsi="Garamond" w:cs="Arial"/>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53F46990" w14:textId="595888E3" w:rsidR="00252190" w:rsidRPr="00252190" w:rsidRDefault="006F13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nil"/>
              <w:bottom w:val="single" w:sz="4" w:space="0" w:color="auto"/>
              <w:right w:val="single" w:sz="4" w:space="0" w:color="auto"/>
            </w:tcBorders>
            <w:shd w:val="clear" w:color="auto" w:fill="auto"/>
            <w:vAlign w:val="center"/>
            <w:hideMark/>
          </w:tcPr>
          <w:p w14:paraId="6282A6DB" w14:textId="6DC0B2A0" w:rsidR="00252190" w:rsidRPr="00252190" w:rsidRDefault="006F13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0,09</w:t>
            </w:r>
            <w:r w:rsidR="000D201E">
              <w:rPr>
                <w:rFonts w:ascii="Garamond" w:eastAsia="Times New Roman" w:hAnsi="Garamond" w:cs="Arial"/>
                <w:lang w:eastAsia="pl-PL"/>
              </w:rPr>
              <w:t xml:space="preserve"> </w:t>
            </w:r>
            <w:r w:rsidR="00FF32CD">
              <w:rPr>
                <w:rFonts w:ascii="Garamond" w:eastAsia="Times New Roman" w:hAnsi="Garamond" w:cs="Arial"/>
                <w:lang w:eastAsia="pl-PL"/>
              </w:rPr>
              <w:t>%</w:t>
            </w:r>
          </w:p>
        </w:tc>
        <w:tc>
          <w:tcPr>
            <w:tcW w:w="812" w:type="dxa"/>
            <w:tcBorders>
              <w:top w:val="nil"/>
              <w:left w:val="nil"/>
              <w:bottom w:val="single" w:sz="4" w:space="0" w:color="auto"/>
              <w:right w:val="nil"/>
            </w:tcBorders>
            <w:shd w:val="clear" w:color="000000" w:fill="FFFFFF"/>
            <w:vAlign w:val="center"/>
            <w:hideMark/>
          </w:tcPr>
          <w:p w14:paraId="49480ED4" w14:textId="0C0F2425"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6C6DAABD" w14:textId="596E7586"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0,09</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463BF8B0" w14:textId="686F1405"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2857530E" w14:textId="77777777" w:rsidTr="00252190">
        <w:trPr>
          <w:trHeight w:val="975"/>
        </w:trPr>
        <w:tc>
          <w:tcPr>
            <w:tcW w:w="1774" w:type="dxa"/>
            <w:vMerge/>
            <w:tcBorders>
              <w:top w:val="nil"/>
              <w:left w:val="single" w:sz="8" w:space="0" w:color="auto"/>
              <w:bottom w:val="single" w:sz="8" w:space="0" w:color="000000"/>
              <w:right w:val="single" w:sz="8" w:space="0" w:color="auto"/>
            </w:tcBorders>
            <w:vAlign w:val="center"/>
            <w:hideMark/>
          </w:tcPr>
          <w:p w14:paraId="40E27060"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nil"/>
              <w:right w:val="nil"/>
            </w:tcBorders>
            <w:shd w:val="clear" w:color="auto" w:fill="auto"/>
            <w:vAlign w:val="center"/>
            <w:hideMark/>
          </w:tcPr>
          <w:p w14:paraId="49FDE991"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zyskowność aktywów (%)</w:t>
            </w:r>
          </w:p>
        </w:tc>
        <w:tc>
          <w:tcPr>
            <w:tcW w:w="747" w:type="dxa"/>
            <w:tcBorders>
              <w:top w:val="nil"/>
              <w:left w:val="single" w:sz="8" w:space="0" w:color="auto"/>
              <w:bottom w:val="nil"/>
              <w:right w:val="single" w:sz="4" w:space="0" w:color="auto"/>
            </w:tcBorders>
            <w:shd w:val="clear" w:color="000000" w:fill="FFFFFF"/>
            <w:vAlign w:val="center"/>
            <w:hideMark/>
          </w:tcPr>
          <w:p w14:paraId="2CF63F96" w14:textId="7AFA4AEE" w:rsidR="00252190" w:rsidRPr="00252190" w:rsidRDefault="0089676D"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0,21</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7DF22425" w14:textId="428F4392"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nil"/>
              <w:bottom w:val="nil"/>
              <w:right w:val="single" w:sz="4" w:space="0" w:color="auto"/>
            </w:tcBorders>
            <w:shd w:val="clear" w:color="000000" w:fill="FFFFFF"/>
            <w:vAlign w:val="center"/>
            <w:hideMark/>
          </w:tcPr>
          <w:p w14:paraId="4D61AAA8" w14:textId="58DFA080" w:rsidR="00252190" w:rsidRPr="00252190" w:rsidRDefault="0089676D"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0,02</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4" w:space="0" w:color="auto"/>
              <w:right w:val="nil"/>
            </w:tcBorders>
            <w:shd w:val="clear" w:color="000000" w:fill="FFFFFF"/>
            <w:vAlign w:val="center"/>
            <w:hideMark/>
          </w:tcPr>
          <w:p w14:paraId="36DCDBC1" w14:textId="7AC35F31"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single" w:sz="8" w:space="0" w:color="auto"/>
              <w:bottom w:val="single" w:sz="8" w:space="0" w:color="auto"/>
              <w:right w:val="single" w:sz="4" w:space="0" w:color="auto"/>
            </w:tcBorders>
            <w:shd w:val="clear" w:color="000000" w:fill="FFFFFF"/>
            <w:vAlign w:val="center"/>
            <w:hideMark/>
          </w:tcPr>
          <w:p w14:paraId="51E74418" w14:textId="69FC87E0" w:rsidR="00252190" w:rsidRPr="00252190" w:rsidRDefault="0089676D"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0,02</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8" w:space="0" w:color="auto"/>
              <w:right w:val="single" w:sz="8" w:space="0" w:color="auto"/>
            </w:tcBorders>
            <w:shd w:val="clear" w:color="000000" w:fill="FFFFFF"/>
            <w:vAlign w:val="center"/>
            <w:hideMark/>
          </w:tcPr>
          <w:p w14:paraId="302C2369" w14:textId="42F23D8B"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72E78488" w14:textId="77777777" w:rsidTr="00252190">
        <w:trPr>
          <w:trHeight w:val="315"/>
        </w:trPr>
        <w:tc>
          <w:tcPr>
            <w:tcW w:w="3701" w:type="dxa"/>
            <w:gridSpan w:val="2"/>
            <w:tcBorders>
              <w:top w:val="single" w:sz="8" w:space="0" w:color="auto"/>
              <w:left w:val="nil"/>
              <w:bottom w:val="nil"/>
              <w:right w:val="nil"/>
            </w:tcBorders>
            <w:shd w:val="clear" w:color="000000" w:fill="FFFFFF"/>
            <w:noWrap/>
            <w:vAlign w:val="center"/>
            <w:hideMark/>
          </w:tcPr>
          <w:p w14:paraId="391A06BE"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36818BE1"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2DFFCF3" w14:textId="608D0E1A" w:rsidR="00252190" w:rsidRPr="00252190" w:rsidRDefault="008967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9</w:t>
            </w:r>
          </w:p>
        </w:tc>
        <w:tc>
          <w:tcPr>
            <w:tcW w:w="889" w:type="dxa"/>
            <w:tcBorders>
              <w:top w:val="single" w:sz="8" w:space="0" w:color="auto"/>
              <w:left w:val="nil"/>
              <w:bottom w:val="single" w:sz="8" w:space="0" w:color="auto"/>
              <w:right w:val="nil"/>
            </w:tcBorders>
            <w:shd w:val="clear" w:color="000000" w:fill="969696"/>
            <w:vAlign w:val="center"/>
            <w:hideMark/>
          </w:tcPr>
          <w:p w14:paraId="05F7B153"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0A5A75BA" w14:textId="5366031E" w:rsidR="00252190" w:rsidRPr="00252190" w:rsidRDefault="008967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9</w:t>
            </w:r>
          </w:p>
        </w:tc>
        <w:tc>
          <w:tcPr>
            <w:tcW w:w="889" w:type="dxa"/>
            <w:tcBorders>
              <w:top w:val="nil"/>
              <w:left w:val="nil"/>
              <w:bottom w:val="single" w:sz="8" w:space="0" w:color="auto"/>
              <w:right w:val="nil"/>
            </w:tcBorders>
            <w:shd w:val="clear" w:color="000000" w:fill="969696"/>
            <w:vAlign w:val="center"/>
            <w:hideMark/>
          </w:tcPr>
          <w:p w14:paraId="4B63195E"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nil"/>
              <w:left w:val="nil"/>
              <w:bottom w:val="single" w:sz="8" w:space="0" w:color="auto"/>
              <w:right w:val="single" w:sz="8" w:space="0" w:color="auto"/>
            </w:tcBorders>
            <w:shd w:val="clear" w:color="000000" w:fill="969696"/>
            <w:vAlign w:val="center"/>
            <w:hideMark/>
          </w:tcPr>
          <w:p w14:paraId="33D0F8DA" w14:textId="0DD52051" w:rsidR="00252190" w:rsidRPr="00252190" w:rsidRDefault="008967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9</w:t>
            </w:r>
          </w:p>
        </w:tc>
      </w:tr>
      <w:tr w:rsidR="00252190" w:rsidRPr="00252190" w14:paraId="52E3D789" w14:textId="77777777" w:rsidTr="00252190">
        <w:trPr>
          <w:trHeight w:val="120"/>
        </w:trPr>
        <w:tc>
          <w:tcPr>
            <w:tcW w:w="1774" w:type="dxa"/>
            <w:tcBorders>
              <w:top w:val="nil"/>
              <w:left w:val="nil"/>
              <w:bottom w:val="nil"/>
              <w:right w:val="nil"/>
            </w:tcBorders>
            <w:shd w:val="clear" w:color="000000" w:fill="FFFFFF"/>
            <w:noWrap/>
            <w:vAlign w:val="center"/>
            <w:hideMark/>
          </w:tcPr>
          <w:p w14:paraId="36D43E3B"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1927" w:type="dxa"/>
            <w:tcBorders>
              <w:top w:val="nil"/>
              <w:left w:val="nil"/>
              <w:bottom w:val="nil"/>
              <w:right w:val="nil"/>
            </w:tcBorders>
            <w:shd w:val="clear" w:color="000000" w:fill="FFFFFF"/>
            <w:noWrap/>
            <w:vAlign w:val="center"/>
            <w:hideMark/>
          </w:tcPr>
          <w:p w14:paraId="07643BC6"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nil"/>
              <w:left w:val="nil"/>
              <w:bottom w:val="nil"/>
              <w:right w:val="nil"/>
            </w:tcBorders>
            <w:shd w:val="clear" w:color="000000" w:fill="FFFFFF"/>
            <w:vAlign w:val="center"/>
            <w:hideMark/>
          </w:tcPr>
          <w:p w14:paraId="2B55C258"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140D7247"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c>
          <w:tcPr>
            <w:tcW w:w="889" w:type="dxa"/>
            <w:tcBorders>
              <w:top w:val="nil"/>
              <w:left w:val="nil"/>
              <w:bottom w:val="nil"/>
              <w:right w:val="nil"/>
            </w:tcBorders>
            <w:shd w:val="clear" w:color="000000" w:fill="FFFFFF"/>
            <w:vAlign w:val="center"/>
            <w:hideMark/>
          </w:tcPr>
          <w:p w14:paraId="62E5CC22"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24D512FD"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c>
          <w:tcPr>
            <w:tcW w:w="889" w:type="dxa"/>
            <w:tcBorders>
              <w:top w:val="nil"/>
              <w:left w:val="nil"/>
              <w:bottom w:val="nil"/>
              <w:right w:val="nil"/>
            </w:tcBorders>
            <w:shd w:val="clear" w:color="000000" w:fill="FFFFFF"/>
            <w:vAlign w:val="center"/>
            <w:hideMark/>
          </w:tcPr>
          <w:p w14:paraId="1D463733"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29C0575A"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r>
      <w:tr w:rsidR="00252190" w:rsidRPr="00252190" w14:paraId="6C89739A" w14:textId="77777777" w:rsidTr="00252190">
        <w:trPr>
          <w:trHeight w:val="96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09D07352"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II. WSKAŹNIKI PŁYNNOŚCI</w:t>
            </w:r>
          </w:p>
        </w:tc>
        <w:tc>
          <w:tcPr>
            <w:tcW w:w="1927" w:type="dxa"/>
            <w:tcBorders>
              <w:top w:val="single" w:sz="8" w:space="0" w:color="auto"/>
              <w:left w:val="nil"/>
              <w:bottom w:val="single" w:sz="4" w:space="0" w:color="auto"/>
              <w:right w:val="nil"/>
            </w:tcBorders>
            <w:shd w:val="clear" w:color="auto" w:fill="auto"/>
            <w:vAlign w:val="center"/>
            <w:hideMark/>
          </w:tcPr>
          <w:p w14:paraId="1CE4CE62"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bieżącej płynności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0CE44EB" w14:textId="65AA4895"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1,08</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5436B181" w14:textId="746D3B23"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51447C4D" w14:textId="78BEFA87"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1,05</w:t>
            </w:r>
          </w:p>
        </w:tc>
        <w:tc>
          <w:tcPr>
            <w:tcW w:w="812" w:type="dxa"/>
            <w:tcBorders>
              <w:top w:val="single" w:sz="8" w:space="0" w:color="auto"/>
              <w:left w:val="nil"/>
              <w:bottom w:val="single" w:sz="4" w:space="0" w:color="auto"/>
              <w:right w:val="nil"/>
            </w:tcBorders>
            <w:shd w:val="clear" w:color="000000" w:fill="FFFFFF"/>
            <w:vAlign w:val="center"/>
            <w:hideMark/>
          </w:tcPr>
          <w:p w14:paraId="4B617907" w14:textId="36A8A4A2"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56CE053" w14:textId="3704E5E1"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1,04</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6CE6C7BC" w14:textId="0D9F4EE9"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r>
      <w:tr w:rsidR="00252190" w:rsidRPr="00252190" w14:paraId="248D787B" w14:textId="77777777" w:rsidTr="00252190">
        <w:trPr>
          <w:trHeight w:val="855"/>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7024C1F8"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4D323E01"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szybkiej płynności</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1B819065" w14:textId="2134658E"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0,</w:t>
            </w:r>
            <w:r w:rsidR="0089676D">
              <w:rPr>
                <w:rFonts w:ascii="Garamond" w:eastAsia="Times New Roman" w:hAnsi="Garamond" w:cs="Arial"/>
                <w:lang w:eastAsia="pl-PL"/>
              </w:rPr>
              <w:t>98</w:t>
            </w:r>
          </w:p>
        </w:tc>
        <w:tc>
          <w:tcPr>
            <w:tcW w:w="812" w:type="dxa"/>
            <w:tcBorders>
              <w:top w:val="nil"/>
              <w:left w:val="nil"/>
              <w:bottom w:val="single" w:sz="4" w:space="0" w:color="auto"/>
              <w:right w:val="single" w:sz="8" w:space="0" w:color="auto"/>
            </w:tcBorders>
            <w:shd w:val="clear" w:color="000000" w:fill="FFFFFF"/>
            <w:vAlign w:val="center"/>
            <w:hideMark/>
          </w:tcPr>
          <w:p w14:paraId="548D38F9"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889" w:type="dxa"/>
            <w:tcBorders>
              <w:top w:val="nil"/>
              <w:left w:val="nil"/>
              <w:bottom w:val="single" w:sz="4" w:space="0" w:color="auto"/>
              <w:right w:val="single" w:sz="4" w:space="0" w:color="auto"/>
            </w:tcBorders>
            <w:shd w:val="clear" w:color="auto" w:fill="auto"/>
            <w:vAlign w:val="center"/>
            <w:hideMark/>
          </w:tcPr>
          <w:p w14:paraId="48CF90D5" w14:textId="6C875FC3"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0,</w:t>
            </w:r>
            <w:r w:rsidR="0089676D">
              <w:rPr>
                <w:rFonts w:ascii="Garamond" w:eastAsia="Times New Roman" w:hAnsi="Garamond" w:cs="Arial"/>
                <w:lang w:eastAsia="pl-PL"/>
              </w:rPr>
              <w:t>97</w:t>
            </w:r>
          </w:p>
        </w:tc>
        <w:tc>
          <w:tcPr>
            <w:tcW w:w="812" w:type="dxa"/>
            <w:tcBorders>
              <w:top w:val="nil"/>
              <w:left w:val="nil"/>
              <w:bottom w:val="single" w:sz="4" w:space="0" w:color="auto"/>
              <w:right w:val="nil"/>
            </w:tcBorders>
            <w:shd w:val="clear" w:color="000000" w:fill="FFFFFF"/>
            <w:vAlign w:val="center"/>
            <w:hideMark/>
          </w:tcPr>
          <w:p w14:paraId="5DF41631"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78043555" w14:textId="15E52F59"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0,</w:t>
            </w:r>
            <w:r w:rsidR="0089676D">
              <w:rPr>
                <w:rFonts w:ascii="Garamond" w:eastAsia="Times New Roman" w:hAnsi="Garamond" w:cs="Arial"/>
                <w:lang w:eastAsia="pl-PL"/>
              </w:rPr>
              <w:t>96</w:t>
            </w:r>
          </w:p>
        </w:tc>
        <w:tc>
          <w:tcPr>
            <w:tcW w:w="812" w:type="dxa"/>
            <w:tcBorders>
              <w:top w:val="nil"/>
              <w:left w:val="nil"/>
              <w:bottom w:val="single" w:sz="4" w:space="0" w:color="auto"/>
              <w:right w:val="single" w:sz="8" w:space="0" w:color="auto"/>
            </w:tcBorders>
            <w:shd w:val="clear" w:color="000000" w:fill="FFFFFF"/>
            <w:vAlign w:val="center"/>
            <w:hideMark/>
          </w:tcPr>
          <w:p w14:paraId="547EEE6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r>
      <w:tr w:rsidR="00252190" w:rsidRPr="00252190" w14:paraId="68EE9908" w14:textId="77777777" w:rsidTr="00252190">
        <w:trPr>
          <w:trHeight w:val="360"/>
        </w:trPr>
        <w:tc>
          <w:tcPr>
            <w:tcW w:w="3701" w:type="dxa"/>
            <w:gridSpan w:val="2"/>
            <w:tcBorders>
              <w:top w:val="single" w:sz="8" w:space="0" w:color="auto"/>
              <w:left w:val="nil"/>
              <w:bottom w:val="nil"/>
              <w:right w:val="nil"/>
            </w:tcBorders>
            <w:shd w:val="clear" w:color="000000" w:fill="FFFFFF"/>
            <w:noWrap/>
            <w:vAlign w:val="center"/>
            <w:hideMark/>
          </w:tcPr>
          <w:p w14:paraId="6253D8F4"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45B6F36A"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16A4FD21" w14:textId="49EBFCB8"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89676D">
              <w:rPr>
                <w:rFonts w:ascii="Garamond" w:eastAsia="Times New Roman" w:hAnsi="Garamond" w:cs="Arial"/>
                <w:b/>
                <w:bCs/>
                <w:lang w:eastAsia="pl-PL"/>
              </w:rPr>
              <w:t>6</w:t>
            </w:r>
          </w:p>
        </w:tc>
        <w:tc>
          <w:tcPr>
            <w:tcW w:w="889" w:type="dxa"/>
            <w:tcBorders>
              <w:top w:val="single" w:sz="8" w:space="0" w:color="auto"/>
              <w:left w:val="nil"/>
              <w:bottom w:val="single" w:sz="8" w:space="0" w:color="auto"/>
              <w:right w:val="nil"/>
            </w:tcBorders>
            <w:shd w:val="clear" w:color="000000" w:fill="969696"/>
            <w:vAlign w:val="center"/>
            <w:hideMark/>
          </w:tcPr>
          <w:p w14:paraId="528FA9BD"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6C6F8DD3" w14:textId="41EAEF76"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89676D">
              <w:rPr>
                <w:rFonts w:ascii="Garamond" w:eastAsia="Times New Roman" w:hAnsi="Garamond" w:cs="Arial"/>
                <w:b/>
                <w:bCs/>
                <w:lang w:eastAsia="pl-PL"/>
              </w:rPr>
              <w:t>6</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0EA0D383"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ADF05CE" w14:textId="4E5EE011" w:rsidR="00252190" w:rsidRPr="00252190" w:rsidRDefault="008967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16</w:t>
            </w:r>
          </w:p>
        </w:tc>
      </w:tr>
      <w:tr w:rsidR="00252190" w:rsidRPr="00252190" w14:paraId="7488039B" w14:textId="77777777" w:rsidTr="00252190">
        <w:trPr>
          <w:trHeight w:val="120"/>
        </w:trPr>
        <w:tc>
          <w:tcPr>
            <w:tcW w:w="1774" w:type="dxa"/>
            <w:tcBorders>
              <w:top w:val="nil"/>
              <w:left w:val="nil"/>
              <w:bottom w:val="nil"/>
              <w:right w:val="nil"/>
            </w:tcBorders>
            <w:shd w:val="clear" w:color="auto" w:fill="auto"/>
            <w:noWrap/>
            <w:vAlign w:val="center"/>
            <w:hideMark/>
          </w:tcPr>
          <w:p w14:paraId="2471C902"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vAlign w:val="center"/>
            <w:hideMark/>
          </w:tcPr>
          <w:p w14:paraId="3C392A4B" w14:textId="77777777" w:rsidR="00252190" w:rsidRPr="00252190" w:rsidRDefault="00252190" w:rsidP="00252190">
            <w:pPr>
              <w:spacing w:after="0" w:line="240" w:lineRule="auto"/>
              <w:rPr>
                <w:rFonts w:ascii="Garamond" w:eastAsia="Times New Roman" w:hAnsi="Garamond" w:cs="Arial"/>
                <w:b/>
                <w:bCs/>
                <w:lang w:eastAsia="pl-PL"/>
              </w:rPr>
            </w:pPr>
          </w:p>
        </w:tc>
        <w:tc>
          <w:tcPr>
            <w:tcW w:w="747" w:type="dxa"/>
            <w:tcBorders>
              <w:top w:val="single" w:sz="4" w:space="0" w:color="auto"/>
              <w:left w:val="nil"/>
              <w:bottom w:val="nil"/>
              <w:right w:val="nil"/>
            </w:tcBorders>
            <w:shd w:val="clear" w:color="auto" w:fill="auto"/>
            <w:vAlign w:val="center"/>
            <w:hideMark/>
          </w:tcPr>
          <w:p w14:paraId="78184D8B"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5763C69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89" w:type="dxa"/>
            <w:tcBorders>
              <w:top w:val="single" w:sz="4" w:space="0" w:color="auto"/>
              <w:left w:val="nil"/>
              <w:bottom w:val="nil"/>
              <w:right w:val="nil"/>
            </w:tcBorders>
            <w:shd w:val="clear" w:color="auto" w:fill="auto"/>
            <w:vAlign w:val="center"/>
            <w:hideMark/>
          </w:tcPr>
          <w:p w14:paraId="29C609FD"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2D79E9CE"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89" w:type="dxa"/>
            <w:tcBorders>
              <w:top w:val="single" w:sz="4" w:space="0" w:color="auto"/>
              <w:left w:val="nil"/>
              <w:bottom w:val="nil"/>
              <w:right w:val="nil"/>
            </w:tcBorders>
            <w:shd w:val="clear" w:color="auto" w:fill="auto"/>
            <w:vAlign w:val="center"/>
            <w:hideMark/>
          </w:tcPr>
          <w:p w14:paraId="390B54D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02C256C9"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r>
      <w:tr w:rsidR="00252190" w:rsidRPr="00252190" w14:paraId="661C7F87" w14:textId="77777777" w:rsidTr="00252190">
        <w:trPr>
          <w:trHeight w:val="93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20FF400F"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III. WSKAŹNIKI EFEKTYWNOŚCI</w:t>
            </w:r>
          </w:p>
        </w:tc>
        <w:tc>
          <w:tcPr>
            <w:tcW w:w="1927" w:type="dxa"/>
            <w:tcBorders>
              <w:top w:val="single" w:sz="8" w:space="0" w:color="auto"/>
              <w:left w:val="nil"/>
              <w:bottom w:val="single" w:sz="4" w:space="0" w:color="auto"/>
              <w:right w:val="nil"/>
            </w:tcBorders>
            <w:shd w:val="clear" w:color="auto" w:fill="auto"/>
            <w:vAlign w:val="center"/>
            <w:hideMark/>
          </w:tcPr>
          <w:p w14:paraId="7B493578"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rotacji należności                                     (w dniach)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2953B5F" w14:textId="58B0E1DD"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2</w:t>
            </w:r>
            <w:r w:rsidR="0089676D">
              <w:rPr>
                <w:rFonts w:ascii="Garamond" w:eastAsia="Times New Roman" w:hAnsi="Garamond" w:cs="Arial"/>
                <w:lang w:eastAsia="pl-PL"/>
              </w:rPr>
              <w:t>5,22</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7213923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73DE091F" w14:textId="40F05203"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2</w:t>
            </w:r>
            <w:r w:rsidR="0089676D">
              <w:rPr>
                <w:rFonts w:ascii="Garamond" w:eastAsia="Times New Roman" w:hAnsi="Garamond" w:cs="Arial"/>
                <w:lang w:eastAsia="pl-PL"/>
              </w:rPr>
              <w:t>5,79</w:t>
            </w:r>
          </w:p>
        </w:tc>
        <w:tc>
          <w:tcPr>
            <w:tcW w:w="812" w:type="dxa"/>
            <w:tcBorders>
              <w:top w:val="single" w:sz="8" w:space="0" w:color="auto"/>
              <w:left w:val="nil"/>
              <w:bottom w:val="single" w:sz="4" w:space="0" w:color="auto"/>
              <w:right w:val="nil"/>
            </w:tcBorders>
            <w:shd w:val="clear" w:color="000000" w:fill="FFFFFF"/>
            <w:vAlign w:val="center"/>
            <w:hideMark/>
          </w:tcPr>
          <w:p w14:paraId="2810D7E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936C90D" w14:textId="7A98CB75"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2</w:t>
            </w:r>
            <w:r w:rsidR="0089676D">
              <w:rPr>
                <w:rFonts w:ascii="Garamond" w:eastAsia="Times New Roman" w:hAnsi="Garamond" w:cs="Arial"/>
                <w:lang w:eastAsia="pl-PL"/>
              </w:rPr>
              <w:t>6,63</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35CBCA4B"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r>
      <w:tr w:rsidR="00252190" w:rsidRPr="00252190" w14:paraId="6347F575" w14:textId="77777777" w:rsidTr="00252190">
        <w:trPr>
          <w:trHeight w:val="900"/>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6E55478A"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58A66FB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rotacji zobowiązań                                          (w dniach)</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0419BA8C" w14:textId="6C96E4CA"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w:t>
            </w:r>
            <w:r w:rsidR="0089676D">
              <w:rPr>
                <w:rFonts w:ascii="Garamond" w:eastAsia="Times New Roman" w:hAnsi="Garamond" w:cs="Arial"/>
                <w:lang w:eastAsia="pl-PL"/>
              </w:rPr>
              <w:t>2,58</w:t>
            </w:r>
          </w:p>
        </w:tc>
        <w:tc>
          <w:tcPr>
            <w:tcW w:w="812" w:type="dxa"/>
            <w:tcBorders>
              <w:top w:val="nil"/>
              <w:left w:val="nil"/>
              <w:bottom w:val="single" w:sz="4" w:space="0" w:color="auto"/>
              <w:right w:val="single" w:sz="8" w:space="0" w:color="auto"/>
            </w:tcBorders>
            <w:shd w:val="clear" w:color="000000" w:fill="FFFFFF"/>
            <w:vAlign w:val="center"/>
            <w:hideMark/>
          </w:tcPr>
          <w:p w14:paraId="6A163D43"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889" w:type="dxa"/>
            <w:tcBorders>
              <w:top w:val="nil"/>
              <w:left w:val="nil"/>
              <w:bottom w:val="single" w:sz="4" w:space="0" w:color="auto"/>
              <w:right w:val="single" w:sz="4" w:space="0" w:color="auto"/>
            </w:tcBorders>
            <w:shd w:val="clear" w:color="auto" w:fill="auto"/>
            <w:vAlign w:val="center"/>
            <w:hideMark/>
          </w:tcPr>
          <w:p w14:paraId="72391A37" w14:textId="0CCCCA3B"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w:t>
            </w:r>
            <w:r w:rsidR="0089676D">
              <w:rPr>
                <w:rFonts w:ascii="Garamond" w:eastAsia="Times New Roman" w:hAnsi="Garamond" w:cs="Arial"/>
                <w:lang w:eastAsia="pl-PL"/>
              </w:rPr>
              <w:t>1,10</w:t>
            </w:r>
          </w:p>
        </w:tc>
        <w:tc>
          <w:tcPr>
            <w:tcW w:w="812" w:type="dxa"/>
            <w:tcBorders>
              <w:top w:val="nil"/>
              <w:left w:val="nil"/>
              <w:bottom w:val="single" w:sz="4" w:space="0" w:color="auto"/>
              <w:right w:val="nil"/>
            </w:tcBorders>
            <w:shd w:val="clear" w:color="000000" w:fill="FFFFFF"/>
            <w:vAlign w:val="center"/>
            <w:hideMark/>
          </w:tcPr>
          <w:p w14:paraId="13AF98E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5288D4F7" w14:textId="1127BDCE"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11,84</w:t>
            </w:r>
          </w:p>
        </w:tc>
        <w:tc>
          <w:tcPr>
            <w:tcW w:w="812" w:type="dxa"/>
            <w:tcBorders>
              <w:top w:val="nil"/>
              <w:left w:val="nil"/>
              <w:bottom w:val="single" w:sz="4" w:space="0" w:color="auto"/>
              <w:right w:val="single" w:sz="8" w:space="0" w:color="auto"/>
            </w:tcBorders>
            <w:shd w:val="clear" w:color="000000" w:fill="FFFFFF"/>
            <w:vAlign w:val="center"/>
            <w:hideMark/>
          </w:tcPr>
          <w:p w14:paraId="665EF0C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r>
      <w:tr w:rsidR="00252190" w:rsidRPr="00252190" w14:paraId="50724D79" w14:textId="77777777" w:rsidTr="00252190">
        <w:trPr>
          <w:trHeight w:val="390"/>
        </w:trPr>
        <w:tc>
          <w:tcPr>
            <w:tcW w:w="3701" w:type="dxa"/>
            <w:gridSpan w:val="2"/>
            <w:tcBorders>
              <w:top w:val="single" w:sz="8" w:space="0" w:color="auto"/>
              <w:left w:val="nil"/>
              <w:bottom w:val="nil"/>
              <w:right w:val="nil"/>
            </w:tcBorders>
            <w:shd w:val="clear" w:color="000000" w:fill="FFFFFF"/>
            <w:noWrap/>
            <w:vAlign w:val="center"/>
            <w:hideMark/>
          </w:tcPr>
          <w:p w14:paraId="5AA06A4F"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571B4C9D"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D56FCCC"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c>
          <w:tcPr>
            <w:tcW w:w="889" w:type="dxa"/>
            <w:tcBorders>
              <w:top w:val="single" w:sz="8" w:space="0" w:color="auto"/>
              <w:left w:val="nil"/>
              <w:bottom w:val="single" w:sz="8" w:space="0" w:color="auto"/>
              <w:right w:val="nil"/>
            </w:tcBorders>
            <w:shd w:val="clear" w:color="000000" w:fill="969696"/>
            <w:vAlign w:val="center"/>
            <w:hideMark/>
          </w:tcPr>
          <w:p w14:paraId="1D2D0F2E"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64AC0EDB"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37C2DBC6"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9760A34"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r>
      <w:tr w:rsidR="00252190" w:rsidRPr="00252190" w14:paraId="2478C8D9" w14:textId="77777777" w:rsidTr="00252190">
        <w:trPr>
          <w:trHeight w:val="165"/>
        </w:trPr>
        <w:tc>
          <w:tcPr>
            <w:tcW w:w="1774" w:type="dxa"/>
            <w:tcBorders>
              <w:top w:val="nil"/>
              <w:left w:val="nil"/>
              <w:bottom w:val="nil"/>
              <w:right w:val="nil"/>
            </w:tcBorders>
            <w:shd w:val="clear" w:color="auto" w:fill="auto"/>
            <w:noWrap/>
            <w:vAlign w:val="bottom"/>
            <w:hideMark/>
          </w:tcPr>
          <w:p w14:paraId="4C12F9F7"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noWrap/>
            <w:vAlign w:val="bottom"/>
            <w:hideMark/>
          </w:tcPr>
          <w:p w14:paraId="0F0C5EDC"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747" w:type="dxa"/>
            <w:tcBorders>
              <w:top w:val="nil"/>
              <w:left w:val="nil"/>
              <w:bottom w:val="nil"/>
              <w:right w:val="nil"/>
            </w:tcBorders>
            <w:shd w:val="clear" w:color="auto" w:fill="auto"/>
            <w:noWrap/>
            <w:vAlign w:val="center"/>
            <w:hideMark/>
          </w:tcPr>
          <w:p w14:paraId="689FE780"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59810193"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center"/>
            <w:hideMark/>
          </w:tcPr>
          <w:p w14:paraId="452649B5"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68E66E68"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center"/>
            <w:hideMark/>
          </w:tcPr>
          <w:p w14:paraId="6B267AD3"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3E42D1D6"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r>
      <w:tr w:rsidR="00252190" w:rsidRPr="00252190" w14:paraId="3E91D198" w14:textId="77777777" w:rsidTr="00252190">
        <w:trPr>
          <w:trHeight w:val="99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48BDF8F5"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IV. WSKAŹNIKI ZADŁUŻENIA</w:t>
            </w:r>
          </w:p>
        </w:tc>
        <w:tc>
          <w:tcPr>
            <w:tcW w:w="1927" w:type="dxa"/>
            <w:tcBorders>
              <w:top w:val="single" w:sz="8" w:space="0" w:color="auto"/>
              <w:left w:val="nil"/>
              <w:bottom w:val="single" w:sz="4" w:space="0" w:color="auto"/>
              <w:right w:val="nil"/>
            </w:tcBorders>
            <w:shd w:val="clear" w:color="auto" w:fill="auto"/>
            <w:vAlign w:val="center"/>
            <w:hideMark/>
          </w:tcPr>
          <w:p w14:paraId="3B04BDD3"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zadłużenia aktywów (%)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FF313EE" w14:textId="61B01E08"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29,65</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6B5067DA"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06AD0099" w14:textId="3638AC33"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29,60</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nil"/>
            </w:tcBorders>
            <w:shd w:val="clear" w:color="000000" w:fill="FFFFFF"/>
            <w:vAlign w:val="center"/>
            <w:hideMark/>
          </w:tcPr>
          <w:p w14:paraId="35FC9E5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75412C7" w14:textId="787A475C" w:rsidR="00252190" w:rsidRPr="00252190" w:rsidRDefault="0089676D" w:rsidP="001A5B47">
            <w:pPr>
              <w:spacing w:after="0" w:line="240" w:lineRule="auto"/>
              <w:jc w:val="center"/>
              <w:rPr>
                <w:rFonts w:ascii="Garamond" w:eastAsia="Times New Roman" w:hAnsi="Garamond" w:cs="Arial"/>
                <w:lang w:eastAsia="pl-PL"/>
              </w:rPr>
            </w:pPr>
            <w:r>
              <w:rPr>
                <w:rFonts w:ascii="Garamond" w:eastAsia="Times New Roman" w:hAnsi="Garamond" w:cs="Arial"/>
                <w:lang w:eastAsia="pl-PL"/>
              </w:rPr>
              <w:t>29,36</w:t>
            </w:r>
            <w:r w:rsidR="001A5B47">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2F61309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r>
      <w:tr w:rsidR="00252190" w:rsidRPr="00252190" w14:paraId="6DCCE48B" w14:textId="77777777" w:rsidTr="00252190">
        <w:trPr>
          <w:trHeight w:val="660"/>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7B228BA8"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7754AB42"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wypłacalności</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063AED4E" w14:textId="78A46B93"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2,03</w:t>
            </w:r>
          </w:p>
        </w:tc>
        <w:tc>
          <w:tcPr>
            <w:tcW w:w="812" w:type="dxa"/>
            <w:tcBorders>
              <w:top w:val="nil"/>
              <w:left w:val="nil"/>
              <w:bottom w:val="single" w:sz="4" w:space="0" w:color="auto"/>
              <w:right w:val="single" w:sz="8" w:space="0" w:color="auto"/>
            </w:tcBorders>
            <w:shd w:val="clear" w:color="000000" w:fill="FFFFFF"/>
            <w:vAlign w:val="center"/>
            <w:hideMark/>
          </w:tcPr>
          <w:p w14:paraId="1DAE7339" w14:textId="77777777" w:rsidR="00252190" w:rsidRPr="00252190" w:rsidRDefault="001A5B47"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889" w:type="dxa"/>
            <w:tcBorders>
              <w:top w:val="nil"/>
              <w:left w:val="nil"/>
              <w:bottom w:val="single" w:sz="4" w:space="0" w:color="auto"/>
              <w:right w:val="single" w:sz="4" w:space="0" w:color="auto"/>
            </w:tcBorders>
            <w:shd w:val="clear" w:color="auto" w:fill="auto"/>
            <w:vAlign w:val="center"/>
            <w:hideMark/>
          </w:tcPr>
          <w:p w14:paraId="488719CA" w14:textId="4A260751"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2,02</w:t>
            </w:r>
          </w:p>
        </w:tc>
        <w:tc>
          <w:tcPr>
            <w:tcW w:w="812" w:type="dxa"/>
            <w:tcBorders>
              <w:top w:val="nil"/>
              <w:left w:val="nil"/>
              <w:bottom w:val="single" w:sz="4" w:space="0" w:color="auto"/>
              <w:right w:val="nil"/>
            </w:tcBorders>
            <w:shd w:val="clear" w:color="000000" w:fill="FFFFFF"/>
            <w:vAlign w:val="center"/>
            <w:hideMark/>
          </w:tcPr>
          <w:p w14:paraId="01F52A30" w14:textId="6C8C75C8"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356011B6" w14:textId="4932360B"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2,01</w:t>
            </w:r>
          </w:p>
        </w:tc>
        <w:tc>
          <w:tcPr>
            <w:tcW w:w="812" w:type="dxa"/>
            <w:tcBorders>
              <w:top w:val="nil"/>
              <w:left w:val="nil"/>
              <w:bottom w:val="single" w:sz="4" w:space="0" w:color="auto"/>
              <w:right w:val="single" w:sz="8" w:space="0" w:color="auto"/>
            </w:tcBorders>
            <w:shd w:val="clear" w:color="000000" w:fill="FFFFFF"/>
            <w:vAlign w:val="center"/>
            <w:hideMark/>
          </w:tcPr>
          <w:p w14:paraId="41943548" w14:textId="0D99D444"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r>
      <w:tr w:rsidR="00252190" w:rsidRPr="00252190" w14:paraId="48978E02" w14:textId="77777777" w:rsidTr="00252190">
        <w:trPr>
          <w:trHeight w:val="540"/>
        </w:trPr>
        <w:tc>
          <w:tcPr>
            <w:tcW w:w="3701" w:type="dxa"/>
            <w:gridSpan w:val="2"/>
            <w:tcBorders>
              <w:top w:val="single" w:sz="8" w:space="0" w:color="auto"/>
              <w:left w:val="nil"/>
              <w:bottom w:val="nil"/>
              <w:right w:val="nil"/>
            </w:tcBorders>
            <w:shd w:val="clear" w:color="000000" w:fill="FFFFFF"/>
            <w:noWrap/>
            <w:vAlign w:val="center"/>
            <w:hideMark/>
          </w:tcPr>
          <w:p w14:paraId="68689D15"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105F20BF"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C780B5E"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1A5B47">
              <w:rPr>
                <w:rFonts w:ascii="Garamond" w:eastAsia="Times New Roman" w:hAnsi="Garamond" w:cs="Arial"/>
                <w:b/>
                <w:bCs/>
                <w:lang w:eastAsia="pl-PL"/>
              </w:rPr>
              <w:t>4</w:t>
            </w:r>
          </w:p>
        </w:tc>
        <w:tc>
          <w:tcPr>
            <w:tcW w:w="889" w:type="dxa"/>
            <w:tcBorders>
              <w:top w:val="single" w:sz="8" w:space="0" w:color="auto"/>
              <w:left w:val="nil"/>
              <w:bottom w:val="single" w:sz="8" w:space="0" w:color="auto"/>
              <w:right w:val="nil"/>
            </w:tcBorders>
            <w:shd w:val="clear" w:color="000000" w:fill="969696"/>
            <w:vAlign w:val="center"/>
            <w:hideMark/>
          </w:tcPr>
          <w:p w14:paraId="1458CFAC"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2E23A7A4" w14:textId="386EDF81"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89676D">
              <w:rPr>
                <w:rFonts w:ascii="Garamond" w:eastAsia="Times New Roman" w:hAnsi="Garamond" w:cs="Arial"/>
                <w:b/>
                <w:bCs/>
                <w:lang w:eastAsia="pl-PL"/>
              </w:rPr>
              <w:t>4</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28E31439"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A8B99C9" w14:textId="46E6BD5D"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89676D">
              <w:rPr>
                <w:rFonts w:ascii="Garamond" w:eastAsia="Times New Roman" w:hAnsi="Garamond" w:cs="Arial"/>
                <w:b/>
                <w:bCs/>
                <w:lang w:eastAsia="pl-PL"/>
              </w:rPr>
              <w:t>4</w:t>
            </w:r>
          </w:p>
        </w:tc>
      </w:tr>
      <w:tr w:rsidR="00252190" w:rsidRPr="00252190" w14:paraId="65DB40F0" w14:textId="77777777" w:rsidTr="00252190">
        <w:trPr>
          <w:trHeight w:val="120"/>
        </w:trPr>
        <w:tc>
          <w:tcPr>
            <w:tcW w:w="1774" w:type="dxa"/>
            <w:tcBorders>
              <w:top w:val="nil"/>
              <w:left w:val="nil"/>
              <w:bottom w:val="nil"/>
              <w:right w:val="nil"/>
            </w:tcBorders>
            <w:shd w:val="clear" w:color="auto" w:fill="auto"/>
            <w:noWrap/>
            <w:vAlign w:val="bottom"/>
            <w:hideMark/>
          </w:tcPr>
          <w:p w14:paraId="792FC255"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noWrap/>
            <w:vAlign w:val="bottom"/>
            <w:hideMark/>
          </w:tcPr>
          <w:p w14:paraId="383F2E64"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747" w:type="dxa"/>
            <w:tcBorders>
              <w:top w:val="nil"/>
              <w:left w:val="nil"/>
              <w:bottom w:val="nil"/>
              <w:right w:val="nil"/>
            </w:tcBorders>
            <w:shd w:val="clear" w:color="auto" w:fill="auto"/>
            <w:noWrap/>
            <w:vAlign w:val="center"/>
            <w:hideMark/>
          </w:tcPr>
          <w:p w14:paraId="6AE38160"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34E731EB"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bottom"/>
            <w:hideMark/>
          </w:tcPr>
          <w:p w14:paraId="2472C988"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12" w:type="dxa"/>
            <w:tcBorders>
              <w:top w:val="nil"/>
              <w:left w:val="nil"/>
              <w:bottom w:val="nil"/>
              <w:right w:val="nil"/>
            </w:tcBorders>
            <w:shd w:val="clear" w:color="auto" w:fill="auto"/>
            <w:noWrap/>
            <w:vAlign w:val="bottom"/>
            <w:hideMark/>
          </w:tcPr>
          <w:p w14:paraId="62AA32FB"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89" w:type="dxa"/>
            <w:tcBorders>
              <w:top w:val="nil"/>
              <w:left w:val="nil"/>
              <w:bottom w:val="nil"/>
              <w:right w:val="nil"/>
            </w:tcBorders>
            <w:shd w:val="clear" w:color="auto" w:fill="auto"/>
            <w:noWrap/>
            <w:vAlign w:val="bottom"/>
            <w:hideMark/>
          </w:tcPr>
          <w:p w14:paraId="3672B973"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12" w:type="dxa"/>
            <w:tcBorders>
              <w:top w:val="nil"/>
              <w:left w:val="nil"/>
              <w:bottom w:val="nil"/>
              <w:right w:val="nil"/>
            </w:tcBorders>
            <w:shd w:val="clear" w:color="auto" w:fill="auto"/>
            <w:noWrap/>
            <w:vAlign w:val="bottom"/>
            <w:hideMark/>
          </w:tcPr>
          <w:p w14:paraId="6A414AB0" w14:textId="77777777" w:rsidR="00252190" w:rsidRPr="00252190" w:rsidRDefault="00252190" w:rsidP="00252190">
            <w:pPr>
              <w:spacing w:after="0" w:line="240" w:lineRule="auto"/>
              <w:rPr>
                <w:rFonts w:ascii="Garamond" w:eastAsia="Times New Roman" w:hAnsi="Garamond" w:cs="Arial"/>
                <w:sz w:val="24"/>
                <w:szCs w:val="24"/>
                <w:lang w:eastAsia="pl-PL"/>
              </w:rPr>
            </w:pPr>
          </w:p>
        </w:tc>
      </w:tr>
      <w:tr w:rsidR="00252190" w:rsidRPr="00252190" w14:paraId="3FFE71D4" w14:textId="77777777" w:rsidTr="00252190">
        <w:trPr>
          <w:trHeight w:val="420"/>
        </w:trPr>
        <w:tc>
          <w:tcPr>
            <w:tcW w:w="3701" w:type="dxa"/>
            <w:gridSpan w:val="2"/>
            <w:tcBorders>
              <w:top w:val="single" w:sz="8" w:space="0" w:color="auto"/>
              <w:left w:val="single" w:sz="8" w:space="0" w:color="auto"/>
              <w:bottom w:val="single" w:sz="8" w:space="0" w:color="auto"/>
              <w:right w:val="single" w:sz="8" w:space="0" w:color="000000"/>
            </w:tcBorders>
            <w:shd w:val="clear" w:color="000000" w:fill="FFCC00"/>
            <w:noWrap/>
            <w:vAlign w:val="center"/>
            <w:hideMark/>
          </w:tcPr>
          <w:p w14:paraId="275732D2"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Łączna wartość punktów</w:t>
            </w:r>
          </w:p>
        </w:tc>
        <w:tc>
          <w:tcPr>
            <w:tcW w:w="1559" w:type="dxa"/>
            <w:gridSpan w:val="2"/>
            <w:tcBorders>
              <w:top w:val="single" w:sz="8" w:space="0" w:color="auto"/>
              <w:left w:val="nil"/>
              <w:bottom w:val="single" w:sz="8" w:space="0" w:color="auto"/>
              <w:right w:val="single" w:sz="8" w:space="0" w:color="000000"/>
            </w:tcBorders>
            <w:shd w:val="clear" w:color="000000" w:fill="FFCC00"/>
            <w:vAlign w:val="center"/>
            <w:hideMark/>
          </w:tcPr>
          <w:p w14:paraId="574570E3" w14:textId="42CCB904" w:rsidR="00252190" w:rsidRPr="00252190" w:rsidRDefault="008969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49</w:t>
            </w:r>
          </w:p>
        </w:tc>
        <w:tc>
          <w:tcPr>
            <w:tcW w:w="1701" w:type="dxa"/>
            <w:gridSpan w:val="2"/>
            <w:tcBorders>
              <w:top w:val="single" w:sz="8" w:space="0" w:color="auto"/>
              <w:left w:val="nil"/>
              <w:bottom w:val="single" w:sz="8" w:space="0" w:color="auto"/>
              <w:right w:val="single" w:sz="8" w:space="0" w:color="000000"/>
            </w:tcBorders>
            <w:shd w:val="clear" w:color="000000" w:fill="FFCC00"/>
            <w:vAlign w:val="center"/>
            <w:hideMark/>
          </w:tcPr>
          <w:p w14:paraId="1E08A310" w14:textId="7B2AD5C3" w:rsidR="00252190" w:rsidRPr="00252190" w:rsidRDefault="008969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49</w:t>
            </w:r>
          </w:p>
        </w:tc>
        <w:tc>
          <w:tcPr>
            <w:tcW w:w="1701" w:type="dxa"/>
            <w:gridSpan w:val="2"/>
            <w:tcBorders>
              <w:top w:val="single" w:sz="8" w:space="0" w:color="auto"/>
              <w:left w:val="nil"/>
              <w:bottom w:val="single" w:sz="8" w:space="0" w:color="auto"/>
              <w:right w:val="single" w:sz="8" w:space="0" w:color="000000"/>
            </w:tcBorders>
            <w:shd w:val="clear" w:color="000000" w:fill="FFCC00"/>
            <w:vAlign w:val="center"/>
            <w:hideMark/>
          </w:tcPr>
          <w:p w14:paraId="4C64542F" w14:textId="5109395E" w:rsidR="00252190" w:rsidRPr="00252190" w:rsidRDefault="000D201E" w:rsidP="00036E49">
            <w:pPr>
              <w:spacing w:after="0" w:line="240" w:lineRule="auto"/>
              <w:rPr>
                <w:rFonts w:ascii="Garamond" w:eastAsia="Times New Roman" w:hAnsi="Garamond" w:cs="Arial"/>
                <w:b/>
                <w:bCs/>
                <w:lang w:eastAsia="pl-PL"/>
              </w:rPr>
            </w:pPr>
            <w:r>
              <w:rPr>
                <w:rFonts w:ascii="Garamond" w:eastAsia="Times New Roman" w:hAnsi="Garamond" w:cs="Arial"/>
                <w:b/>
                <w:bCs/>
                <w:lang w:eastAsia="pl-PL"/>
              </w:rPr>
              <w:t xml:space="preserve">           </w:t>
            </w:r>
            <w:r w:rsidR="0089696D">
              <w:rPr>
                <w:rFonts w:ascii="Garamond" w:eastAsia="Times New Roman" w:hAnsi="Garamond" w:cs="Arial"/>
                <w:b/>
                <w:bCs/>
                <w:lang w:eastAsia="pl-PL"/>
              </w:rPr>
              <w:t>49</w:t>
            </w:r>
          </w:p>
        </w:tc>
      </w:tr>
    </w:tbl>
    <w:p w14:paraId="1F61BB4B" w14:textId="77777777" w:rsidR="000578B6" w:rsidRPr="004D1293" w:rsidRDefault="00000530" w:rsidP="0047283E">
      <w:pPr>
        <w:jc w:val="both"/>
        <w:rPr>
          <w:rFonts w:eastAsiaTheme="minorEastAsia"/>
          <w:kern w:val="24"/>
          <w:sz w:val="24"/>
          <w:szCs w:val="24"/>
        </w:rPr>
      </w:pPr>
      <w:r>
        <w:rPr>
          <w:b/>
          <w:bCs/>
          <w:sz w:val="24"/>
          <w:szCs w:val="24"/>
        </w:rPr>
        <w:t xml:space="preserve">                              </w:t>
      </w:r>
      <w:r w:rsidR="009856BB" w:rsidRPr="00CD3117">
        <w:rPr>
          <w:b/>
          <w:bCs/>
          <w:sz w:val="24"/>
          <w:szCs w:val="24"/>
        </w:rPr>
        <w:t xml:space="preserve"> </w:t>
      </w:r>
    </w:p>
    <w:tbl>
      <w:tblPr>
        <w:tblW w:w="8804" w:type="dxa"/>
        <w:tblInd w:w="55" w:type="dxa"/>
        <w:tblCellMar>
          <w:left w:w="70" w:type="dxa"/>
          <w:right w:w="70" w:type="dxa"/>
        </w:tblCellMar>
        <w:tblLook w:val="04A0" w:firstRow="1" w:lastRow="0" w:firstColumn="1" w:lastColumn="0" w:noHBand="0" w:noVBand="1"/>
      </w:tblPr>
      <w:tblGrid>
        <w:gridCol w:w="3360"/>
        <w:gridCol w:w="1475"/>
        <w:gridCol w:w="1417"/>
        <w:gridCol w:w="1198"/>
        <w:gridCol w:w="78"/>
        <w:gridCol w:w="1276"/>
      </w:tblGrid>
      <w:tr w:rsidR="00252190" w:rsidRPr="00252190" w14:paraId="5173604D" w14:textId="77777777" w:rsidTr="00252190">
        <w:trPr>
          <w:gridAfter w:val="2"/>
          <w:wAfter w:w="1354" w:type="dxa"/>
          <w:trHeight w:val="540"/>
        </w:trPr>
        <w:tc>
          <w:tcPr>
            <w:tcW w:w="7450" w:type="dxa"/>
            <w:gridSpan w:val="4"/>
            <w:tcBorders>
              <w:top w:val="nil"/>
              <w:left w:val="nil"/>
              <w:bottom w:val="single" w:sz="8" w:space="0" w:color="auto"/>
              <w:right w:val="nil"/>
            </w:tcBorders>
            <w:shd w:val="clear" w:color="000000" w:fill="FFFFFF"/>
            <w:vAlign w:val="center"/>
            <w:hideMark/>
          </w:tcPr>
          <w:p w14:paraId="035AE798" w14:textId="7B4708FE" w:rsidR="00252190" w:rsidRPr="00252190" w:rsidRDefault="00252190" w:rsidP="00252190">
            <w:pPr>
              <w:spacing w:after="0" w:line="240" w:lineRule="auto"/>
              <w:jc w:val="center"/>
              <w:rPr>
                <w:rFonts w:ascii="Garamond" w:eastAsia="Times New Roman" w:hAnsi="Garamond" w:cs="Arial"/>
                <w:b/>
                <w:bCs/>
                <w:lang w:eastAsia="pl-PL"/>
              </w:rPr>
            </w:pPr>
            <w:bookmarkStart w:id="1" w:name="RANGE!A2:E14"/>
            <w:r w:rsidRPr="00252190">
              <w:rPr>
                <w:rFonts w:ascii="Garamond" w:eastAsia="Times New Roman" w:hAnsi="Garamond" w:cs="Arial"/>
                <w:b/>
                <w:bCs/>
                <w:lang w:eastAsia="pl-PL"/>
              </w:rPr>
              <w:t>T</w:t>
            </w:r>
            <w:r w:rsidR="008E3620">
              <w:rPr>
                <w:rFonts w:ascii="Garamond" w:eastAsia="Times New Roman" w:hAnsi="Garamond" w:cs="Arial"/>
                <w:b/>
                <w:bCs/>
                <w:lang w:eastAsia="pl-PL"/>
              </w:rPr>
              <w:t>ABELA PUNTÓW OGÓŁEM ZA LATA 201</w:t>
            </w:r>
            <w:r w:rsidR="000D201E">
              <w:rPr>
                <w:rFonts w:ascii="Garamond" w:eastAsia="Times New Roman" w:hAnsi="Garamond" w:cs="Arial"/>
                <w:b/>
                <w:bCs/>
                <w:lang w:eastAsia="pl-PL"/>
              </w:rPr>
              <w:t>9</w:t>
            </w:r>
            <w:r w:rsidRPr="00252190">
              <w:rPr>
                <w:rFonts w:ascii="Garamond" w:eastAsia="Times New Roman" w:hAnsi="Garamond" w:cs="Arial"/>
                <w:b/>
                <w:bCs/>
                <w:lang w:eastAsia="pl-PL"/>
              </w:rPr>
              <w:t>-20</w:t>
            </w:r>
            <w:bookmarkEnd w:id="1"/>
            <w:r w:rsidR="008E3620">
              <w:rPr>
                <w:rFonts w:ascii="Garamond" w:eastAsia="Times New Roman" w:hAnsi="Garamond" w:cs="Arial"/>
                <w:b/>
                <w:bCs/>
                <w:lang w:eastAsia="pl-PL"/>
              </w:rPr>
              <w:t>2</w:t>
            </w:r>
            <w:r w:rsidR="000D201E">
              <w:rPr>
                <w:rFonts w:ascii="Garamond" w:eastAsia="Times New Roman" w:hAnsi="Garamond" w:cs="Arial"/>
                <w:b/>
                <w:bCs/>
                <w:lang w:eastAsia="pl-PL"/>
              </w:rPr>
              <w:t>2</w:t>
            </w:r>
          </w:p>
        </w:tc>
      </w:tr>
      <w:tr w:rsidR="00252190" w:rsidRPr="00252190" w14:paraId="725C8BA8" w14:textId="77777777" w:rsidTr="002E71AC">
        <w:trPr>
          <w:trHeight w:val="509"/>
        </w:trPr>
        <w:tc>
          <w:tcPr>
            <w:tcW w:w="3360" w:type="dxa"/>
            <w:vMerge w:val="restart"/>
            <w:tcBorders>
              <w:top w:val="nil"/>
              <w:left w:val="single" w:sz="8" w:space="0" w:color="auto"/>
              <w:bottom w:val="single" w:sz="4" w:space="0" w:color="auto"/>
              <w:right w:val="single" w:sz="4" w:space="0" w:color="auto"/>
            </w:tcBorders>
            <w:shd w:val="clear" w:color="000000" w:fill="FFCC00"/>
            <w:vAlign w:val="center"/>
            <w:hideMark/>
          </w:tcPr>
          <w:p w14:paraId="524238A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Wskaźniki</w:t>
            </w:r>
          </w:p>
        </w:tc>
        <w:tc>
          <w:tcPr>
            <w:tcW w:w="1475" w:type="dxa"/>
            <w:vMerge w:val="restart"/>
            <w:tcBorders>
              <w:top w:val="nil"/>
              <w:left w:val="single" w:sz="4" w:space="0" w:color="auto"/>
              <w:bottom w:val="single" w:sz="4" w:space="0" w:color="auto"/>
              <w:right w:val="single" w:sz="4" w:space="0" w:color="auto"/>
            </w:tcBorders>
            <w:shd w:val="clear" w:color="000000" w:fill="FFCC00"/>
            <w:vAlign w:val="center"/>
            <w:hideMark/>
          </w:tcPr>
          <w:p w14:paraId="51840781" w14:textId="46799DE4"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201</w:t>
            </w:r>
            <w:r w:rsidR="000D201E">
              <w:rPr>
                <w:rFonts w:ascii="Garamond" w:eastAsia="Times New Roman" w:hAnsi="Garamond" w:cs="Arial"/>
                <w:b/>
                <w:bCs/>
                <w:sz w:val="18"/>
                <w:szCs w:val="18"/>
                <w:lang w:eastAsia="pl-PL"/>
              </w:rPr>
              <w:t>9</w:t>
            </w:r>
          </w:p>
        </w:tc>
        <w:tc>
          <w:tcPr>
            <w:tcW w:w="1417" w:type="dxa"/>
            <w:vMerge w:val="restart"/>
            <w:tcBorders>
              <w:top w:val="nil"/>
              <w:left w:val="single" w:sz="4" w:space="0" w:color="auto"/>
              <w:bottom w:val="single" w:sz="4" w:space="0" w:color="auto"/>
              <w:right w:val="single" w:sz="4" w:space="0" w:color="auto"/>
            </w:tcBorders>
            <w:shd w:val="clear" w:color="000000" w:fill="FFCC00"/>
            <w:vAlign w:val="center"/>
            <w:hideMark/>
          </w:tcPr>
          <w:p w14:paraId="5120B97A" w14:textId="495582ED"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w:t>
            </w:r>
            <w:r w:rsidR="000D201E">
              <w:rPr>
                <w:rFonts w:ascii="Garamond" w:eastAsia="Times New Roman" w:hAnsi="Garamond" w:cs="Arial"/>
                <w:b/>
                <w:bCs/>
                <w:sz w:val="18"/>
                <w:szCs w:val="18"/>
                <w:lang w:eastAsia="pl-PL"/>
              </w:rPr>
              <w:t>20</w:t>
            </w:r>
          </w:p>
        </w:tc>
        <w:tc>
          <w:tcPr>
            <w:tcW w:w="1276" w:type="dxa"/>
            <w:gridSpan w:val="2"/>
            <w:vMerge w:val="restart"/>
            <w:tcBorders>
              <w:top w:val="nil"/>
              <w:left w:val="single" w:sz="4" w:space="0" w:color="auto"/>
              <w:bottom w:val="single" w:sz="4" w:space="0" w:color="auto"/>
              <w:right w:val="single" w:sz="4" w:space="0" w:color="auto"/>
            </w:tcBorders>
            <w:shd w:val="clear" w:color="000000" w:fill="FFCC00"/>
            <w:vAlign w:val="center"/>
            <w:hideMark/>
          </w:tcPr>
          <w:p w14:paraId="6F786073" w14:textId="5DAA987A"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w:t>
            </w:r>
            <w:r w:rsidR="00036E49">
              <w:rPr>
                <w:rFonts w:ascii="Garamond" w:eastAsia="Times New Roman" w:hAnsi="Garamond" w:cs="Arial"/>
                <w:b/>
                <w:bCs/>
                <w:sz w:val="18"/>
                <w:szCs w:val="18"/>
                <w:lang w:eastAsia="pl-PL"/>
              </w:rPr>
              <w:t>2</w:t>
            </w:r>
            <w:r w:rsidR="000D201E">
              <w:rPr>
                <w:rFonts w:ascii="Garamond" w:eastAsia="Times New Roman" w:hAnsi="Garamond" w:cs="Arial"/>
                <w:b/>
                <w:bCs/>
                <w:sz w:val="18"/>
                <w:szCs w:val="18"/>
                <w:lang w:eastAsia="pl-PL"/>
              </w:rPr>
              <w:t>1</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CC00"/>
            <w:vAlign w:val="center"/>
            <w:hideMark/>
          </w:tcPr>
          <w:p w14:paraId="78190187" w14:textId="7CB104DE"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202</w:t>
            </w:r>
            <w:r w:rsidR="000D201E">
              <w:rPr>
                <w:rFonts w:ascii="Garamond" w:eastAsia="Times New Roman" w:hAnsi="Garamond" w:cs="Arial"/>
                <w:b/>
                <w:bCs/>
                <w:sz w:val="18"/>
                <w:szCs w:val="18"/>
                <w:lang w:eastAsia="pl-PL"/>
              </w:rPr>
              <w:t>2</w:t>
            </w:r>
          </w:p>
        </w:tc>
      </w:tr>
      <w:tr w:rsidR="002E71AC" w:rsidRPr="00252190" w14:paraId="4541EA82" w14:textId="77777777" w:rsidTr="002E71AC">
        <w:trPr>
          <w:trHeight w:val="509"/>
        </w:trPr>
        <w:tc>
          <w:tcPr>
            <w:tcW w:w="3360" w:type="dxa"/>
            <w:vMerge/>
            <w:tcBorders>
              <w:top w:val="nil"/>
              <w:left w:val="single" w:sz="8" w:space="0" w:color="auto"/>
              <w:bottom w:val="single" w:sz="4" w:space="0" w:color="auto"/>
              <w:right w:val="single" w:sz="4" w:space="0" w:color="auto"/>
            </w:tcBorders>
            <w:vAlign w:val="center"/>
            <w:hideMark/>
          </w:tcPr>
          <w:p w14:paraId="6366905C" w14:textId="77777777" w:rsidR="00252190" w:rsidRPr="00252190" w:rsidRDefault="00252190" w:rsidP="00252190">
            <w:pPr>
              <w:spacing w:after="0" w:line="240" w:lineRule="auto"/>
              <w:rPr>
                <w:rFonts w:ascii="Garamond" w:eastAsia="Times New Roman" w:hAnsi="Garamond" w:cs="Arial"/>
                <w:lang w:eastAsia="pl-PL"/>
              </w:rPr>
            </w:pPr>
          </w:p>
        </w:tc>
        <w:tc>
          <w:tcPr>
            <w:tcW w:w="1475" w:type="dxa"/>
            <w:vMerge/>
            <w:tcBorders>
              <w:top w:val="nil"/>
              <w:left w:val="single" w:sz="4" w:space="0" w:color="auto"/>
              <w:bottom w:val="single" w:sz="4" w:space="0" w:color="auto"/>
              <w:right w:val="single" w:sz="4" w:space="0" w:color="auto"/>
            </w:tcBorders>
            <w:vAlign w:val="center"/>
            <w:hideMark/>
          </w:tcPr>
          <w:p w14:paraId="70BCFBA6"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417" w:type="dxa"/>
            <w:vMerge/>
            <w:tcBorders>
              <w:top w:val="nil"/>
              <w:left w:val="single" w:sz="4" w:space="0" w:color="auto"/>
              <w:bottom w:val="single" w:sz="4" w:space="0" w:color="auto"/>
              <w:right w:val="single" w:sz="4" w:space="0" w:color="auto"/>
            </w:tcBorders>
            <w:vAlign w:val="center"/>
            <w:hideMark/>
          </w:tcPr>
          <w:p w14:paraId="1D0F1488"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6935762"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276" w:type="dxa"/>
            <w:vMerge/>
            <w:tcBorders>
              <w:top w:val="nil"/>
              <w:left w:val="single" w:sz="4" w:space="0" w:color="auto"/>
              <w:bottom w:val="single" w:sz="4" w:space="0" w:color="auto"/>
              <w:right w:val="single" w:sz="4" w:space="0" w:color="auto"/>
            </w:tcBorders>
            <w:vAlign w:val="center"/>
            <w:hideMark/>
          </w:tcPr>
          <w:p w14:paraId="3D8C2A5C"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r>
      <w:tr w:rsidR="00252190" w:rsidRPr="00252190" w14:paraId="2104669A" w14:textId="77777777" w:rsidTr="00252190">
        <w:trPr>
          <w:trHeight w:val="72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0CCE43F6"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netto  (%)                                                           </w:t>
            </w:r>
          </w:p>
        </w:tc>
        <w:tc>
          <w:tcPr>
            <w:tcW w:w="1475" w:type="dxa"/>
            <w:tcBorders>
              <w:top w:val="nil"/>
              <w:left w:val="nil"/>
              <w:bottom w:val="single" w:sz="4" w:space="0" w:color="auto"/>
              <w:right w:val="single" w:sz="4" w:space="0" w:color="auto"/>
            </w:tcBorders>
            <w:shd w:val="clear" w:color="auto" w:fill="auto"/>
            <w:noWrap/>
            <w:vAlign w:val="center"/>
            <w:hideMark/>
          </w:tcPr>
          <w:p w14:paraId="6011F9D3" w14:textId="6DFE3E2E"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auto" w:fill="auto"/>
            <w:noWrap/>
            <w:vAlign w:val="center"/>
            <w:hideMark/>
          </w:tcPr>
          <w:p w14:paraId="2CA9FC1B" w14:textId="6974F355"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039533B" w14:textId="515FF293"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023AB37D" w14:textId="4C380537" w:rsidR="00252190" w:rsidRPr="00252190" w:rsidRDefault="0089696D"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r>
      <w:tr w:rsidR="00252190" w:rsidRPr="00252190" w14:paraId="06532231" w14:textId="77777777" w:rsidTr="00252190">
        <w:trPr>
          <w:trHeight w:val="94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40E0F186"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działalności operacyjnej (%)            </w:t>
            </w:r>
          </w:p>
        </w:tc>
        <w:tc>
          <w:tcPr>
            <w:tcW w:w="1475" w:type="dxa"/>
            <w:tcBorders>
              <w:top w:val="nil"/>
              <w:left w:val="nil"/>
              <w:bottom w:val="single" w:sz="4" w:space="0" w:color="auto"/>
              <w:right w:val="single" w:sz="4" w:space="0" w:color="auto"/>
            </w:tcBorders>
            <w:shd w:val="clear" w:color="auto" w:fill="auto"/>
            <w:vAlign w:val="center"/>
            <w:hideMark/>
          </w:tcPr>
          <w:p w14:paraId="109E686A" w14:textId="336AB596"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000000" w:fill="FFFFFF"/>
            <w:vAlign w:val="center"/>
            <w:hideMark/>
          </w:tcPr>
          <w:p w14:paraId="28186FF8" w14:textId="318A06AA"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auto" w:fill="auto"/>
            <w:vAlign w:val="center"/>
            <w:hideMark/>
          </w:tcPr>
          <w:p w14:paraId="4C8C3F2E" w14:textId="6BB1007F"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3B60A97E" w14:textId="0093A17C"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7AB58AD1" w14:textId="77777777" w:rsidTr="00252190">
        <w:trPr>
          <w:trHeight w:val="67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3E5355F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zyskowność aktywów (%)</w:t>
            </w:r>
          </w:p>
        </w:tc>
        <w:tc>
          <w:tcPr>
            <w:tcW w:w="1475" w:type="dxa"/>
            <w:tcBorders>
              <w:top w:val="nil"/>
              <w:left w:val="nil"/>
              <w:bottom w:val="single" w:sz="4" w:space="0" w:color="auto"/>
              <w:right w:val="single" w:sz="4" w:space="0" w:color="auto"/>
            </w:tcBorders>
            <w:shd w:val="clear" w:color="000000" w:fill="FFFFFF"/>
            <w:vAlign w:val="center"/>
            <w:hideMark/>
          </w:tcPr>
          <w:p w14:paraId="1E16C0DA" w14:textId="65F2D982" w:rsidR="00252190" w:rsidRPr="00252190" w:rsidRDefault="000D201E"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3</w:t>
            </w:r>
          </w:p>
        </w:tc>
        <w:tc>
          <w:tcPr>
            <w:tcW w:w="1417" w:type="dxa"/>
            <w:tcBorders>
              <w:top w:val="nil"/>
              <w:left w:val="nil"/>
              <w:bottom w:val="single" w:sz="4" w:space="0" w:color="auto"/>
              <w:right w:val="single" w:sz="4" w:space="0" w:color="auto"/>
            </w:tcBorders>
            <w:shd w:val="clear" w:color="000000" w:fill="FFFFFF"/>
            <w:vAlign w:val="center"/>
            <w:hideMark/>
          </w:tcPr>
          <w:p w14:paraId="69F11AEC" w14:textId="6A20EAF0"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61A2C49F" w14:textId="6E67CB7F" w:rsidR="00252190" w:rsidRPr="00252190" w:rsidRDefault="0089696D"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3C5DEF63" w14:textId="2A423F5F"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37275642" w14:textId="77777777" w:rsidTr="00252190">
        <w:trPr>
          <w:trHeight w:val="73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219B7CAC"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bieżącej płynności                                           </w:t>
            </w:r>
          </w:p>
        </w:tc>
        <w:tc>
          <w:tcPr>
            <w:tcW w:w="1475" w:type="dxa"/>
            <w:tcBorders>
              <w:top w:val="nil"/>
              <w:left w:val="nil"/>
              <w:bottom w:val="single" w:sz="4" w:space="0" w:color="auto"/>
              <w:right w:val="single" w:sz="4" w:space="0" w:color="auto"/>
            </w:tcBorders>
            <w:shd w:val="clear" w:color="auto" w:fill="auto"/>
            <w:vAlign w:val="center"/>
            <w:hideMark/>
          </w:tcPr>
          <w:p w14:paraId="650A98FD" w14:textId="00CBEEA7"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417" w:type="dxa"/>
            <w:tcBorders>
              <w:top w:val="nil"/>
              <w:left w:val="nil"/>
              <w:bottom w:val="single" w:sz="4" w:space="0" w:color="auto"/>
              <w:right w:val="single" w:sz="4" w:space="0" w:color="auto"/>
            </w:tcBorders>
            <w:shd w:val="clear" w:color="000000" w:fill="FFFFFF"/>
            <w:vAlign w:val="center"/>
            <w:hideMark/>
          </w:tcPr>
          <w:p w14:paraId="629C1F30" w14:textId="75D33263"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276" w:type="dxa"/>
            <w:gridSpan w:val="2"/>
            <w:tcBorders>
              <w:top w:val="nil"/>
              <w:left w:val="nil"/>
              <w:bottom w:val="single" w:sz="4" w:space="0" w:color="auto"/>
              <w:right w:val="single" w:sz="4" w:space="0" w:color="auto"/>
            </w:tcBorders>
            <w:shd w:val="clear" w:color="auto" w:fill="auto"/>
            <w:vAlign w:val="center"/>
            <w:hideMark/>
          </w:tcPr>
          <w:p w14:paraId="1A656941" w14:textId="78D1F9C6"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276" w:type="dxa"/>
            <w:tcBorders>
              <w:top w:val="nil"/>
              <w:left w:val="nil"/>
              <w:bottom w:val="single" w:sz="4" w:space="0" w:color="auto"/>
              <w:right w:val="single" w:sz="8" w:space="0" w:color="auto"/>
            </w:tcBorders>
            <w:shd w:val="clear" w:color="000000" w:fill="FFFFFF"/>
            <w:vAlign w:val="center"/>
            <w:hideMark/>
          </w:tcPr>
          <w:p w14:paraId="3F839CE8" w14:textId="106E26DD"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r>
      <w:tr w:rsidR="00252190" w:rsidRPr="00252190" w14:paraId="176B5E80" w14:textId="77777777" w:rsidTr="00252190">
        <w:trPr>
          <w:trHeight w:val="72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7B2503F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szybkiej płynności</w:t>
            </w:r>
          </w:p>
        </w:tc>
        <w:tc>
          <w:tcPr>
            <w:tcW w:w="1475" w:type="dxa"/>
            <w:tcBorders>
              <w:top w:val="nil"/>
              <w:left w:val="nil"/>
              <w:bottom w:val="single" w:sz="4" w:space="0" w:color="auto"/>
              <w:right w:val="single" w:sz="4" w:space="0" w:color="auto"/>
            </w:tcBorders>
            <w:shd w:val="clear" w:color="auto" w:fill="auto"/>
            <w:vAlign w:val="center"/>
            <w:hideMark/>
          </w:tcPr>
          <w:p w14:paraId="5616A480"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1417" w:type="dxa"/>
            <w:tcBorders>
              <w:top w:val="nil"/>
              <w:left w:val="nil"/>
              <w:bottom w:val="single" w:sz="4" w:space="0" w:color="auto"/>
              <w:right w:val="single" w:sz="4" w:space="0" w:color="auto"/>
            </w:tcBorders>
            <w:shd w:val="clear" w:color="000000" w:fill="FFFFFF"/>
            <w:vAlign w:val="center"/>
            <w:hideMark/>
          </w:tcPr>
          <w:p w14:paraId="3DB1A721"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1276" w:type="dxa"/>
            <w:gridSpan w:val="2"/>
            <w:tcBorders>
              <w:top w:val="nil"/>
              <w:left w:val="nil"/>
              <w:bottom w:val="single" w:sz="4" w:space="0" w:color="auto"/>
              <w:right w:val="single" w:sz="4" w:space="0" w:color="auto"/>
            </w:tcBorders>
            <w:shd w:val="clear" w:color="auto" w:fill="auto"/>
            <w:vAlign w:val="center"/>
            <w:hideMark/>
          </w:tcPr>
          <w:p w14:paraId="636574A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1276" w:type="dxa"/>
            <w:tcBorders>
              <w:top w:val="nil"/>
              <w:left w:val="nil"/>
              <w:bottom w:val="single" w:sz="4" w:space="0" w:color="auto"/>
              <w:right w:val="single" w:sz="8" w:space="0" w:color="auto"/>
            </w:tcBorders>
            <w:shd w:val="clear" w:color="000000" w:fill="FFFFFF"/>
            <w:vAlign w:val="center"/>
            <w:hideMark/>
          </w:tcPr>
          <w:p w14:paraId="46391870"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r>
      <w:tr w:rsidR="00252190" w:rsidRPr="00252190" w14:paraId="3491C182" w14:textId="77777777" w:rsidTr="00252190">
        <w:trPr>
          <w:trHeight w:val="64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0D1517DD"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rotacji należności  (w dniach)                           </w:t>
            </w:r>
          </w:p>
        </w:tc>
        <w:tc>
          <w:tcPr>
            <w:tcW w:w="1475" w:type="dxa"/>
            <w:tcBorders>
              <w:top w:val="nil"/>
              <w:left w:val="nil"/>
              <w:bottom w:val="single" w:sz="4" w:space="0" w:color="auto"/>
              <w:right w:val="single" w:sz="4" w:space="0" w:color="auto"/>
            </w:tcBorders>
            <w:shd w:val="clear" w:color="auto" w:fill="auto"/>
            <w:vAlign w:val="center"/>
            <w:hideMark/>
          </w:tcPr>
          <w:p w14:paraId="7D41381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000000" w:fill="FFFFFF"/>
            <w:vAlign w:val="center"/>
            <w:hideMark/>
          </w:tcPr>
          <w:p w14:paraId="4A1112F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auto" w:fill="auto"/>
            <w:vAlign w:val="center"/>
            <w:hideMark/>
          </w:tcPr>
          <w:p w14:paraId="0C121E8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2E2AA1E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r>
      <w:tr w:rsidR="00252190" w:rsidRPr="00252190" w14:paraId="4A4A258B" w14:textId="77777777" w:rsidTr="00252190">
        <w:trPr>
          <w:trHeight w:val="66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56B9609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lastRenderedPageBreak/>
              <w:t>Wskaźnik rotacji zobowiązań  (w dniach)</w:t>
            </w:r>
          </w:p>
        </w:tc>
        <w:tc>
          <w:tcPr>
            <w:tcW w:w="1475" w:type="dxa"/>
            <w:tcBorders>
              <w:top w:val="nil"/>
              <w:left w:val="nil"/>
              <w:bottom w:val="single" w:sz="4" w:space="0" w:color="auto"/>
              <w:right w:val="single" w:sz="4" w:space="0" w:color="auto"/>
            </w:tcBorders>
            <w:shd w:val="clear" w:color="auto" w:fill="auto"/>
            <w:vAlign w:val="center"/>
            <w:hideMark/>
          </w:tcPr>
          <w:p w14:paraId="20BC05F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417" w:type="dxa"/>
            <w:tcBorders>
              <w:top w:val="nil"/>
              <w:left w:val="nil"/>
              <w:bottom w:val="single" w:sz="4" w:space="0" w:color="auto"/>
              <w:right w:val="single" w:sz="4" w:space="0" w:color="auto"/>
            </w:tcBorders>
            <w:shd w:val="clear" w:color="000000" w:fill="FFFFFF"/>
            <w:vAlign w:val="center"/>
            <w:hideMark/>
          </w:tcPr>
          <w:p w14:paraId="683E48B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276" w:type="dxa"/>
            <w:gridSpan w:val="2"/>
            <w:tcBorders>
              <w:top w:val="nil"/>
              <w:left w:val="nil"/>
              <w:bottom w:val="single" w:sz="4" w:space="0" w:color="auto"/>
              <w:right w:val="single" w:sz="4" w:space="0" w:color="auto"/>
            </w:tcBorders>
            <w:shd w:val="clear" w:color="auto" w:fill="auto"/>
            <w:vAlign w:val="center"/>
            <w:hideMark/>
          </w:tcPr>
          <w:p w14:paraId="3877BEB0"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276" w:type="dxa"/>
            <w:tcBorders>
              <w:top w:val="nil"/>
              <w:left w:val="nil"/>
              <w:bottom w:val="single" w:sz="4" w:space="0" w:color="auto"/>
              <w:right w:val="single" w:sz="8" w:space="0" w:color="auto"/>
            </w:tcBorders>
            <w:shd w:val="clear" w:color="000000" w:fill="FFFFFF"/>
            <w:vAlign w:val="center"/>
            <w:hideMark/>
          </w:tcPr>
          <w:p w14:paraId="64DB4099"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r>
      <w:tr w:rsidR="00252190" w:rsidRPr="00252190" w14:paraId="44CA1FC1" w14:textId="77777777" w:rsidTr="00252190">
        <w:trPr>
          <w:trHeight w:val="60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198F17E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zadłużenia aktywów (%)                          </w:t>
            </w:r>
          </w:p>
        </w:tc>
        <w:tc>
          <w:tcPr>
            <w:tcW w:w="1475" w:type="dxa"/>
            <w:tcBorders>
              <w:top w:val="nil"/>
              <w:left w:val="nil"/>
              <w:bottom w:val="single" w:sz="4" w:space="0" w:color="auto"/>
              <w:right w:val="single" w:sz="4" w:space="0" w:color="auto"/>
            </w:tcBorders>
            <w:shd w:val="clear" w:color="auto" w:fill="auto"/>
            <w:vAlign w:val="center"/>
            <w:hideMark/>
          </w:tcPr>
          <w:p w14:paraId="219564B8"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417" w:type="dxa"/>
            <w:tcBorders>
              <w:top w:val="nil"/>
              <w:left w:val="nil"/>
              <w:bottom w:val="single" w:sz="4" w:space="0" w:color="auto"/>
              <w:right w:val="single" w:sz="4" w:space="0" w:color="auto"/>
            </w:tcBorders>
            <w:shd w:val="clear" w:color="000000" w:fill="FFFFFF"/>
            <w:vAlign w:val="center"/>
            <w:hideMark/>
          </w:tcPr>
          <w:p w14:paraId="7B45B238"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276" w:type="dxa"/>
            <w:gridSpan w:val="2"/>
            <w:tcBorders>
              <w:top w:val="nil"/>
              <w:left w:val="nil"/>
              <w:bottom w:val="single" w:sz="4" w:space="0" w:color="auto"/>
              <w:right w:val="single" w:sz="4" w:space="0" w:color="auto"/>
            </w:tcBorders>
            <w:shd w:val="clear" w:color="auto" w:fill="auto"/>
            <w:vAlign w:val="center"/>
            <w:hideMark/>
          </w:tcPr>
          <w:p w14:paraId="3BD30435"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276" w:type="dxa"/>
            <w:tcBorders>
              <w:top w:val="nil"/>
              <w:left w:val="nil"/>
              <w:bottom w:val="single" w:sz="4" w:space="0" w:color="auto"/>
              <w:right w:val="single" w:sz="8" w:space="0" w:color="auto"/>
            </w:tcBorders>
            <w:shd w:val="clear" w:color="000000" w:fill="FFFFFF"/>
            <w:vAlign w:val="center"/>
            <w:hideMark/>
          </w:tcPr>
          <w:p w14:paraId="2955347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r>
      <w:tr w:rsidR="00252190" w:rsidRPr="00252190" w14:paraId="4DB4D74B" w14:textId="77777777" w:rsidTr="00252190">
        <w:trPr>
          <w:trHeight w:val="66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1931123F"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wypłacalności</w:t>
            </w:r>
          </w:p>
        </w:tc>
        <w:tc>
          <w:tcPr>
            <w:tcW w:w="1475" w:type="dxa"/>
            <w:tcBorders>
              <w:top w:val="nil"/>
              <w:left w:val="nil"/>
              <w:bottom w:val="single" w:sz="4" w:space="0" w:color="auto"/>
              <w:right w:val="single" w:sz="4" w:space="0" w:color="auto"/>
            </w:tcBorders>
            <w:shd w:val="clear" w:color="auto" w:fill="auto"/>
            <w:vAlign w:val="center"/>
            <w:hideMark/>
          </w:tcPr>
          <w:p w14:paraId="0A95BA48" w14:textId="507F00E7"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1417" w:type="dxa"/>
            <w:tcBorders>
              <w:top w:val="nil"/>
              <w:left w:val="nil"/>
              <w:bottom w:val="single" w:sz="4" w:space="0" w:color="auto"/>
              <w:right w:val="single" w:sz="4" w:space="0" w:color="auto"/>
            </w:tcBorders>
            <w:shd w:val="clear" w:color="000000" w:fill="FFFFFF"/>
            <w:vAlign w:val="center"/>
            <w:hideMark/>
          </w:tcPr>
          <w:p w14:paraId="2D1802E5" w14:textId="77777777" w:rsidR="00252190" w:rsidRPr="00252190" w:rsidRDefault="00036E49"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1276" w:type="dxa"/>
            <w:gridSpan w:val="2"/>
            <w:tcBorders>
              <w:top w:val="nil"/>
              <w:left w:val="nil"/>
              <w:bottom w:val="single" w:sz="4" w:space="0" w:color="auto"/>
              <w:right w:val="single" w:sz="4" w:space="0" w:color="auto"/>
            </w:tcBorders>
            <w:shd w:val="clear" w:color="auto" w:fill="auto"/>
            <w:vAlign w:val="center"/>
            <w:hideMark/>
          </w:tcPr>
          <w:p w14:paraId="0D33E183" w14:textId="78AEFCF4"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1276" w:type="dxa"/>
            <w:tcBorders>
              <w:top w:val="nil"/>
              <w:left w:val="nil"/>
              <w:bottom w:val="single" w:sz="4" w:space="0" w:color="auto"/>
              <w:right w:val="single" w:sz="8" w:space="0" w:color="auto"/>
            </w:tcBorders>
            <w:shd w:val="clear" w:color="000000" w:fill="FFFFFF"/>
            <w:vAlign w:val="center"/>
            <w:hideMark/>
          </w:tcPr>
          <w:p w14:paraId="1A5F1BA9" w14:textId="59BAF4E2"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r>
      <w:tr w:rsidR="00252190" w:rsidRPr="00252190" w14:paraId="11ECC7DA" w14:textId="77777777" w:rsidTr="00252190">
        <w:trPr>
          <w:trHeight w:val="570"/>
        </w:trPr>
        <w:tc>
          <w:tcPr>
            <w:tcW w:w="3360" w:type="dxa"/>
            <w:tcBorders>
              <w:top w:val="nil"/>
              <w:left w:val="single" w:sz="8" w:space="0" w:color="auto"/>
              <w:bottom w:val="single" w:sz="8" w:space="0" w:color="auto"/>
              <w:right w:val="single" w:sz="4" w:space="0" w:color="auto"/>
            </w:tcBorders>
            <w:shd w:val="clear" w:color="000000" w:fill="FFCC00"/>
            <w:noWrap/>
            <w:vAlign w:val="center"/>
            <w:hideMark/>
          </w:tcPr>
          <w:p w14:paraId="2DB43B3A"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RAZEM</w:t>
            </w:r>
          </w:p>
        </w:tc>
        <w:tc>
          <w:tcPr>
            <w:tcW w:w="1475" w:type="dxa"/>
            <w:tcBorders>
              <w:top w:val="nil"/>
              <w:left w:val="nil"/>
              <w:bottom w:val="single" w:sz="8" w:space="0" w:color="auto"/>
              <w:right w:val="single" w:sz="4" w:space="0" w:color="auto"/>
            </w:tcBorders>
            <w:shd w:val="clear" w:color="000000" w:fill="FFCC00"/>
            <w:vAlign w:val="center"/>
            <w:hideMark/>
          </w:tcPr>
          <w:p w14:paraId="7650F7E2" w14:textId="476D98D4" w:rsidR="00252190" w:rsidRPr="00252190" w:rsidRDefault="000D201E"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49</w:t>
            </w:r>
          </w:p>
        </w:tc>
        <w:tc>
          <w:tcPr>
            <w:tcW w:w="1417" w:type="dxa"/>
            <w:tcBorders>
              <w:top w:val="nil"/>
              <w:left w:val="nil"/>
              <w:bottom w:val="single" w:sz="8" w:space="0" w:color="auto"/>
              <w:right w:val="single" w:sz="4" w:space="0" w:color="auto"/>
            </w:tcBorders>
            <w:shd w:val="clear" w:color="000000" w:fill="FFCC00"/>
            <w:vAlign w:val="center"/>
            <w:hideMark/>
          </w:tcPr>
          <w:p w14:paraId="1B4294D0" w14:textId="7E857B24" w:rsidR="00252190" w:rsidRPr="00252190" w:rsidRDefault="008969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49</w:t>
            </w:r>
          </w:p>
        </w:tc>
        <w:tc>
          <w:tcPr>
            <w:tcW w:w="1276" w:type="dxa"/>
            <w:gridSpan w:val="2"/>
            <w:tcBorders>
              <w:top w:val="nil"/>
              <w:left w:val="nil"/>
              <w:bottom w:val="single" w:sz="8" w:space="0" w:color="auto"/>
              <w:right w:val="single" w:sz="4" w:space="0" w:color="auto"/>
            </w:tcBorders>
            <w:shd w:val="clear" w:color="000000" w:fill="FFCC00"/>
            <w:vAlign w:val="center"/>
            <w:hideMark/>
          </w:tcPr>
          <w:p w14:paraId="64539ED7" w14:textId="7636EFDD" w:rsidR="00252190" w:rsidRPr="00252190" w:rsidRDefault="008969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49</w:t>
            </w:r>
          </w:p>
        </w:tc>
        <w:tc>
          <w:tcPr>
            <w:tcW w:w="1276" w:type="dxa"/>
            <w:tcBorders>
              <w:top w:val="nil"/>
              <w:left w:val="nil"/>
              <w:bottom w:val="single" w:sz="8" w:space="0" w:color="auto"/>
              <w:right w:val="single" w:sz="4" w:space="0" w:color="auto"/>
            </w:tcBorders>
            <w:shd w:val="clear" w:color="000000" w:fill="FFCC00"/>
            <w:vAlign w:val="center"/>
            <w:hideMark/>
          </w:tcPr>
          <w:p w14:paraId="77018F8B" w14:textId="4F9C42B1" w:rsidR="00252190" w:rsidRPr="00252190" w:rsidRDefault="008969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49</w:t>
            </w:r>
          </w:p>
        </w:tc>
      </w:tr>
    </w:tbl>
    <w:p w14:paraId="43BBAF84" w14:textId="77777777" w:rsidR="00000530" w:rsidRDefault="00000530" w:rsidP="0047283E">
      <w:pPr>
        <w:jc w:val="both"/>
      </w:pPr>
    </w:p>
    <w:p w14:paraId="12493312" w14:textId="77777777" w:rsidR="00995662" w:rsidRPr="00344544" w:rsidRDefault="00E824EB" w:rsidP="00902004">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Podstawową działalnością s</w:t>
      </w:r>
      <w:r w:rsidR="00995662" w:rsidRPr="00344544">
        <w:rPr>
          <w:rFonts w:ascii="Times New Roman" w:hAnsi="Times New Roman" w:cs="Times New Roman"/>
          <w:color w:val="000000"/>
          <w:sz w:val="24"/>
          <w:szCs w:val="24"/>
        </w:rPr>
        <w:t>amodzielnego zakładu opieki zdrowotnej jest działalność lecznicza polegająca na udzielaniu świadczeń zdrowotnych finans</w:t>
      </w:r>
      <w:r w:rsidR="00B53010">
        <w:rPr>
          <w:rFonts w:ascii="Times New Roman" w:hAnsi="Times New Roman" w:cs="Times New Roman"/>
          <w:color w:val="000000"/>
          <w:sz w:val="24"/>
          <w:szCs w:val="24"/>
        </w:rPr>
        <w:t>owanych ze środków  publicznych</w:t>
      </w:r>
      <w:r w:rsidR="00995662" w:rsidRPr="00344544">
        <w:rPr>
          <w:rFonts w:ascii="Times New Roman" w:hAnsi="Times New Roman" w:cs="Times New Roman"/>
          <w:color w:val="000000"/>
          <w:sz w:val="24"/>
          <w:szCs w:val="24"/>
        </w:rPr>
        <w:t>.</w:t>
      </w:r>
      <w:r w:rsidR="00995662" w:rsidRPr="00344544">
        <w:rPr>
          <w:rFonts w:ascii="Times New Roman" w:hAnsi="Times New Roman" w:cs="Times New Roman"/>
          <w:sz w:val="24"/>
          <w:szCs w:val="24"/>
        </w:rPr>
        <w:t xml:space="preserve"> </w:t>
      </w:r>
      <w:r w:rsidR="00995662" w:rsidRPr="00344544">
        <w:rPr>
          <w:rFonts w:ascii="Times New Roman" w:hAnsi="Times New Roman" w:cs="Times New Roman"/>
          <w:color w:val="000000"/>
          <w:sz w:val="24"/>
          <w:szCs w:val="24"/>
        </w:rPr>
        <w:t xml:space="preserve">Samodzielny publiczny zakład opieki zdrowotnej nie jest jednostką </w:t>
      </w:r>
      <w:r w:rsidR="00B53010">
        <w:rPr>
          <w:rFonts w:ascii="Times New Roman" w:hAnsi="Times New Roman" w:cs="Times New Roman"/>
          <w:color w:val="000000"/>
          <w:sz w:val="24"/>
          <w:szCs w:val="24"/>
        </w:rPr>
        <w:t>nastawioną na osiągnięcie zysku</w:t>
      </w:r>
      <w:r w:rsidR="00995662" w:rsidRPr="00344544">
        <w:rPr>
          <w:rFonts w:ascii="Times New Roman" w:hAnsi="Times New Roman" w:cs="Times New Roman"/>
          <w:color w:val="000000"/>
          <w:sz w:val="24"/>
          <w:szCs w:val="24"/>
        </w:rPr>
        <w:t>.</w:t>
      </w:r>
    </w:p>
    <w:p w14:paraId="1D390465" w14:textId="77777777" w:rsidR="00995662" w:rsidRPr="00344544" w:rsidRDefault="00995662" w:rsidP="00902004">
      <w:pPr>
        <w:ind w:firstLine="708"/>
        <w:jc w:val="both"/>
        <w:rPr>
          <w:rFonts w:ascii="Times New Roman" w:hAnsi="Times New Roman" w:cs="Times New Roman"/>
          <w:sz w:val="24"/>
          <w:szCs w:val="24"/>
        </w:rPr>
      </w:pPr>
      <w:r w:rsidRPr="00344544">
        <w:rPr>
          <w:rFonts w:ascii="Times New Roman" w:hAnsi="Times New Roman" w:cs="Times New Roman"/>
          <w:sz w:val="24"/>
          <w:szCs w:val="24"/>
        </w:rPr>
        <w:t>Zasadniczym celem działania  podmiotów leczniczych realizujących usługi w całoś</w:t>
      </w:r>
      <w:r>
        <w:rPr>
          <w:rFonts w:ascii="Times New Roman" w:hAnsi="Times New Roman" w:cs="Times New Roman"/>
          <w:sz w:val="24"/>
          <w:szCs w:val="24"/>
        </w:rPr>
        <w:t xml:space="preserve">ci finansowane </w:t>
      </w:r>
      <w:r w:rsidRPr="00344544">
        <w:rPr>
          <w:rFonts w:ascii="Times New Roman" w:hAnsi="Times New Roman" w:cs="Times New Roman"/>
          <w:sz w:val="24"/>
          <w:szCs w:val="24"/>
        </w:rPr>
        <w:t xml:space="preserve"> ze środków NFZ jest zaspokajanie w sposób ciągły i trwały potrzeb obywateli w zakresie ochrony zdrowia w ramach gwarantowanych przez pańs</w:t>
      </w:r>
      <w:r>
        <w:rPr>
          <w:rFonts w:ascii="Times New Roman" w:hAnsi="Times New Roman" w:cs="Times New Roman"/>
          <w:sz w:val="24"/>
          <w:szCs w:val="24"/>
        </w:rPr>
        <w:t>two świadczeń zdrowotnych. SP ZOZ</w:t>
      </w:r>
      <w:r w:rsidRPr="00344544">
        <w:rPr>
          <w:rFonts w:ascii="Times New Roman" w:hAnsi="Times New Roman" w:cs="Times New Roman"/>
          <w:sz w:val="24"/>
          <w:szCs w:val="24"/>
        </w:rPr>
        <w:t xml:space="preserve"> udziela świadczeń zdrowotnych finansowanych ze środków publicznych ubezpieczonym oraz innym osobom uprawnionym do tych świadczeń na podstawie odrębnych przepisów nieodpłatnie, za częściową lub całkowitą odpłatnością. Opłaty za świadczenia zdrowotne udzielone odpłatnie, w sytuacjach, w których ustawa oraz przepisy odrębne dopuszczają taką odpłatność ustalane są w oparciu o rzeczywiste koszty związane z realizacją procedur medycznych. </w:t>
      </w:r>
    </w:p>
    <w:p w14:paraId="2F6A5BC7" w14:textId="707D5EF2" w:rsidR="00995662" w:rsidRDefault="00127CEC" w:rsidP="00902004">
      <w:pPr>
        <w:ind w:firstLine="708"/>
        <w:jc w:val="both"/>
        <w:rPr>
          <w:rFonts w:ascii="Times New Roman" w:hAnsi="Times New Roman" w:cs="Times New Roman"/>
          <w:sz w:val="24"/>
          <w:szCs w:val="24"/>
        </w:rPr>
      </w:pPr>
      <w:r>
        <w:rPr>
          <w:rFonts w:ascii="Times New Roman" w:hAnsi="Times New Roman" w:cs="Times New Roman"/>
          <w:sz w:val="24"/>
          <w:szCs w:val="24"/>
        </w:rPr>
        <w:t xml:space="preserve">Celem SP ZOZ </w:t>
      </w:r>
      <w:r w:rsidR="00995662" w:rsidRPr="00344544">
        <w:rPr>
          <w:rFonts w:ascii="Times New Roman" w:hAnsi="Times New Roman" w:cs="Times New Roman"/>
          <w:sz w:val="24"/>
          <w:szCs w:val="24"/>
        </w:rPr>
        <w:t xml:space="preserve"> jest równoważenie kosztów przychodami. W zwią</w:t>
      </w:r>
      <w:r w:rsidR="00BA4278">
        <w:rPr>
          <w:rFonts w:ascii="Times New Roman" w:hAnsi="Times New Roman" w:cs="Times New Roman"/>
          <w:sz w:val="24"/>
          <w:szCs w:val="24"/>
        </w:rPr>
        <w:t>zku z powyższym uzyskanie   w prognozach na lata 20</w:t>
      </w:r>
      <w:r w:rsidR="00180195">
        <w:rPr>
          <w:rFonts w:ascii="Times New Roman" w:hAnsi="Times New Roman" w:cs="Times New Roman"/>
          <w:sz w:val="24"/>
          <w:szCs w:val="24"/>
        </w:rPr>
        <w:t>20</w:t>
      </w:r>
      <w:r w:rsidR="00BA4278">
        <w:rPr>
          <w:rFonts w:ascii="Times New Roman" w:hAnsi="Times New Roman" w:cs="Times New Roman"/>
          <w:sz w:val="24"/>
          <w:szCs w:val="24"/>
        </w:rPr>
        <w:t>-202</w:t>
      </w:r>
      <w:r w:rsidR="00180195">
        <w:rPr>
          <w:rFonts w:ascii="Times New Roman" w:hAnsi="Times New Roman" w:cs="Times New Roman"/>
          <w:sz w:val="24"/>
          <w:szCs w:val="24"/>
        </w:rPr>
        <w:t>2</w:t>
      </w:r>
      <w:r w:rsidR="00995662" w:rsidRPr="00344544">
        <w:rPr>
          <w:rFonts w:ascii="Times New Roman" w:hAnsi="Times New Roman" w:cs="Times New Roman"/>
          <w:sz w:val="24"/>
          <w:szCs w:val="24"/>
        </w:rPr>
        <w:t xml:space="preserve">  </w:t>
      </w:r>
      <w:r w:rsidR="0089696D">
        <w:rPr>
          <w:rFonts w:ascii="Times New Roman" w:hAnsi="Times New Roman" w:cs="Times New Roman"/>
          <w:sz w:val="24"/>
          <w:szCs w:val="24"/>
        </w:rPr>
        <w:t>70</w:t>
      </w:r>
      <w:r>
        <w:rPr>
          <w:rFonts w:ascii="Times New Roman" w:hAnsi="Times New Roman" w:cs="Times New Roman"/>
          <w:sz w:val="24"/>
          <w:szCs w:val="24"/>
        </w:rPr>
        <w:t xml:space="preserve"> </w:t>
      </w:r>
      <w:r w:rsidR="00995662" w:rsidRPr="00344544">
        <w:rPr>
          <w:rFonts w:ascii="Times New Roman" w:hAnsi="Times New Roman" w:cs="Times New Roman"/>
          <w:sz w:val="24"/>
          <w:szCs w:val="24"/>
        </w:rPr>
        <w:t>% możliwych punktów</w:t>
      </w:r>
      <w:r w:rsidR="00F17153">
        <w:rPr>
          <w:rFonts w:ascii="Times New Roman" w:hAnsi="Times New Roman" w:cs="Times New Roman"/>
          <w:sz w:val="24"/>
          <w:szCs w:val="24"/>
        </w:rPr>
        <w:t xml:space="preserve"> w każdym roku</w:t>
      </w:r>
      <w:r w:rsidR="00180195">
        <w:rPr>
          <w:rFonts w:ascii="Times New Roman" w:hAnsi="Times New Roman" w:cs="Times New Roman"/>
          <w:sz w:val="24"/>
          <w:szCs w:val="24"/>
        </w:rPr>
        <w:t>,</w:t>
      </w:r>
      <w:r w:rsidR="00995662" w:rsidRPr="00344544">
        <w:rPr>
          <w:rFonts w:ascii="Times New Roman" w:hAnsi="Times New Roman" w:cs="Times New Roman"/>
          <w:sz w:val="24"/>
          <w:szCs w:val="24"/>
        </w:rPr>
        <w:t xml:space="preserve">  świadczy o </w:t>
      </w:r>
      <w:r w:rsidR="00F17153">
        <w:rPr>
          <w:rFonts w:ascii="Times New Roman" w:hAnsi="Times New Roman" w:cs="Times New Roman"/>
          <w:sz w:val="24"/>
          <w:szCs w:val="24"/>
        </w:rPr>
        <w:t xml:space="preserve">przewidywalnej </w:t>
      </w:r>
      <w:r w:rsidR="00995662" w:rsidRPr="00344544">
        <w:rPr>
          <w:rFonts w:ascii="Times New Roman" w:hAnsi="Times New Roman" w:cs="Times New Roman"/>
          <w:sz w:val="24"/>
          <w:szCs w:val="24"/>
        </w:rPr>
        <w:t>stabilno</w:t>
      </w:r>
      <w:r>
        <w:rPr>
          <w:rFonts w:ascii="Times New Roman" w:hAnsi="Times New Roman" w:cs="Times New Roman"/>
          <w:sz w:val="24"/>
          <w:szCs w:val="24"/>
        </w:rPr>
        <w:t xml:space="preserve">ści ekonomiczno-finansowej SP ZOZ </w:t>
      </w:r>
      <w:r w:rsidR="00995662" w:rsidRPr="00344544">
        <w:rPr>
          <w:rFonts w:ascii="Times New Roman" w:hAnsi="Times New Roman" w:cs="Times New Roman"/>
          <w:sz w:val="24"/>
          <w:szCs w:val="24"/>
        </w:rPr>
        <w:t xml:space="preserve"> i sprawności bieżącego zarządzania jednostką</w:t>
      </w:r>
      <w:r w:rsidR="00FF32CD">
        <w:rPr>
          <w:rFonts w:ascii="Times New Roman" w:hAnsi="Times New Roman" w:cs="Times New Roman"/>
          <w:sz w:val="24"/>
          <w:szCs w:val="24"/>
        </w:rPr>
        <w:t>.</w:t>
      </w:r>
    </w:p>
    <w:p w14:paraId="14B05092" w14:textId="70A47DF0" w:rsidR="00EA73B9" w:rsidRPr="00344544" w:rsidRDefault="00EA73B9" w:rsidP="00902004">
      <w:pPr>
        <w:ind w:firstLine="708"/>
        <w:jc w:val="both"/>
        <w:rPr>
          <w:rFonts w:ascii="Times New Roman" w:hAnsi="Times New Roman" w:cs="Times New Roman"/>
          <w:sz w:val="24"/>
          <w:szCs w:val="24"/>
        </w:rPr>
      </w:pPr>
      <w:r>
        <w:rPr>
          <w:rFonts w:ascii="Times New Roman" w:hAnsi="Times New Roman" w:cs="Times New Roman"/>
          <w:sz w:val="24"/>
          <w:szCs w:val="24"/>
        </w:rPr>
        <w:t>Po załamaniu finansowym w 2018 r Szpital odzyskał zdolność kredytową. W załączeniu przedstawiamy opinię bankową wydaną nam przez obsługujący nas bank - BS Duszniki.</w:t>
      </w:r>
    </w:p>
    <w:p w14:paraId="1E4FA6E7" w14:textId="77777777" w:rsidR="00000530" w:rsidRDefault="00000530" w:rsidP="0047283E">
      <w:pPr>
        <w:jc w:val="both"/>
      </w:pPr>
    </w:p>
    <w:p w14:paraId="70C2BBF0" w14:textId="77777777" w:rsidR="00000530" w:rsidRDefault="00000530" w:rsidP="0047283E">
      <w:pPr>
        <w:jc w:val="both"/>
      </w:pPr>
    </w:p>
    <w:p w14:paraId="79B0E616" w14:textId="77777777" w:rsidR="000578B6" w:rsidRDefault="000578B6" w:rsidP="0047283E">
      <w:pPr>
        <w:jc w:val="both"/>
      </w:pPr>
    </w:p>
    <w:p w14:paraId="1277DC98" w14:textId="77777777" w:rsidR="000578B6" w:rsidRDefault="000578B6" w:rsidP="0047283E">
      <w:pPr>
        <w:jc w:val="both"/>
      </w:pPr>
    </w:p>
    <w:p w14:paraId="1B567DC6" w14:textId="77777777" w:rsidR="000578B6" w:rsidRDefault="000578B6" w:rsidP="0047283E">
      <w:pPr>
        <w:jc w:val="both"/>
      </w:pPr>
    </w:p>
    <w:p w14:paraId="6023E480" w14:textId="77777777" w:rsidR="00000530" w:rsidRDefault="00000530" w:rsidP="0047283E">
      <w:pPr>
        <w:jc w:val="both"/>
      </w:pPr>
    </w:p>
    <w:p w14:paraId="5C01FEF4" w14:textId="77777777" w:rsidR="005C58BB" w:rsidRDefault="005C58BB" w:rsidP="0047283E">
      <w:pPr>
        <w:jc w:val="both"/>
      </w:pPr>
    </w:p>
    <w:p w14:paraId="539ECB87" w14:textId="77777777" w:rsidR="003E2694" w:rsidRPr="005643D0" w:rsidRDefault="003E2694" w:rsidP="0047283E">
      <w:pPr>
        <w:jc w:val="both"/>
        <w:rPr>
          <w:b/>
        </w:rPr>
      </w:pPr>
    </w:p>
    <w:p w14:paraId="0DF2E1AC" w14:textId="77777777" w:rsidR="003E2694" w:rsidRDefault="003E2694" w:rsidP="0047283E">
      <w:pPr>
        <w:jc w:val="both"/>
      </w:pPr>
    </w:p>
    <w:p w14:paraId="39C83EFA" w14:textId="77777777" w:rsidR="003E2694" w:rsidRDefault="003E2694" w:rsidP="0047283E">
      <w:pPr>
        <w:jc w:val="both"/>
      </w:pPr>
    </w:p>
    <w:p w14:paraId="5224DF33" w14:textId="77777777" w:rsidR="003E2694" w:rsidRDefault="003E2694" w:rsidP="0047283E">
      <w:pPr>
        <w:jc w:val="both"/>
      </w:pPr>
    </w:p>
    <w:p w14:paraId="6B939452" w14:textId="77777777" w:rsidR="003E2694" w:rsidRDefault="003E2694" w:rsidP="0047283E">
      <w:pPr>
        <w:jc w:val="both"/>
      </w:pPr>
    </w:p>
    <w:p w14:paraId="17AE041B" w14:textId="77777777" w:rsidR="003E2694" w:rsidRDefault="003E2694" w:rsidP="0047283E">
      <w:pPr>
        <w:jc w:val="both"/>
      </w:pPr>
    </w:p>
    <w:p w14:paraId="09E02C18" w14:textId="77777777" w:rsidR="003E2694" w:rsidRDefault="003E2694" w:rsidP="0047283E">
      <w:pPr>
        <w:jc w:val="both"/>
      </w:pPr>
    </w:p>
    <w:p w14:paraId="7808559B" w14:textId="77777777" w:rsidR="003E2694" w:rsidRDefault="003E2694" w:rsidP="0047283E">
      <w:pPr>
        <w:jc w:val="both"/>
      </w:pPr>
    </w:p>
    <w:p w14:paraId="72C900AF" w14:textId="77777777" w:rsidR="003E2694" w:rsidRDefault="003E2694" w:rsidP="0047283E">
      <w:pPr>
        <w:jc w:val="both"/>
      </w:pPr>
    </w:p>
    <w:p w14:paraId="242C30A3" w14:textId="77777777" w:rsidR="003E2694" w:rsidRDefault="003E2694" w:rsidP="0047283E">
      <w:pPr>
        <w:jc w:val="both"/>
      </w:pPr>
    </w:p>
    <w:p w14:paraId="4E52A8D1" w14:textId="77777777" w:rsidR="003E2694" w:rsidRDefault="003E2694" w:rsidP="0047283E">
      <w:pPr>
        <w:jc w:val="both"/>
      </w:pPr>
    </w:p>
    <w:p w14:paraId="54233E54" w14:textId="77777777" w:rsidR="003E2694" w:rsidRDefault="003E2694" w:rsidP="0047283E">
      <w:pPr>
        <w:jc w:val="both"/>
      </w:pPr>
    </w:p>
    <w:p w14:paraId="671B05A3" w14:textId="77777777" w:rsidR="003E2694" w:rsidRDefault="003E2694" w:rsidP="0047283E">
      <w:pPr>
        <w:jc w:val="both"/>
      </w:pPr>
    </w:p>
    <w:p w14:paraId="12B4385A" w14:textId="77777777" w:rsidR="003E2694" w:rsidRDefault="003E2694" w:rsidP="0047283E">
      <w:pPr>
        <w:jc w:val="both"/>
      </w:pPr>
    </w:p>
    <w:p w14:paraId="26E28B05" w14:textId="77777777" w:rsidR="003E2694" w:rsidRDefault="003E2694" w:rsidP="0047283E">
      <w:pPr>
        <w:jc w:val="both"/>
        <w:sectPr w:rsidR="003E2694" w:rsidSect="00D03378">
          <w:type w:val="nextColumn"/>
          <w:pgSz w:w="11906" w:h="16838"/>
          <w:pgMar w:top="1418" w:right="1418" w:bottom="1418" w:left="1418" w:header="709" w:footer="709" w:gutter="0"/>
          <w:cols w:space="708"/>
          <w:docGrid w:linePitch="360"/>
        </w:sectPr>
      </w:pPr>
    </w:p>
    <w:p w14:paraId="5BFC0CBE" w14:textId="77777777" w:rsidR="003E2694" w:rsidRDefault="003E2694" w:rsidP="0047283E">
      <w:pPr>
        <w:jc w:val="both"/>
      </w:pPr>
    </w:p>
    <w:p w14:paraId="6F81AB43" w14:textId="77777777" w:rsidR="003E2694" w:rsidRDefault="003E2694" w:rsidP="0047283E">
      <w:pPr>
        <w:jc w:val="both"/>
      </w:pPr>
    </w:p>
    <w:p w14:paraId="5C942C2A" w14:textId="77777777" w:rsidR="003E2694" w:rsidRDefault="003E2694" w:rsidP="00A825DE">
      <w:pPr>
        <w:ind w:left="284" w:hanging="284"/>
        <w:jc w:val="both"/>
        <w:sectPr w:rsidR="003E2694" w:rsidSect="00D03378">
          <w:pgSz w:w="16838" w:h="11906" w:orient="landscape"/>
          <w:pgMar w:top="426" w:right="284" w:bottom="1418" w:left="142" w:header="708" w:footer="708" w:gutter="0"/>
          <w:cols w:space="708"/>
          <w:docGrid w:linePitch="360"/>
        </w:sectPr>
      </w:pPr>
    </w:p>
    <w:p w14:paraId="3B6F26CB" w14:textId="77777777" w:rsidR="003E2694" w:rsidRDefault="003E2694" w:rsidP="0047283E">
      <w:pPr>
        <w:jc w:val="both"/>
      </w:pPr>
    </w:p>
    <w:p w14:paraId="323003ED" w14:textId="77777777" w:rsidR="00787DD5" w:rsidRDefault="00787DD5" w:rsidP="0047283E">
      <w:pPr>
        <w:jc w:val="both"/>
      </w:pPr>
    </w:p>
    <w:p w14:paraId="77136E31" w14:textId="77777777" w:rsidR="001254D9" w:rsidRPr="00A34C14" w:rsidRDefault="001254D9" w:rsidP="0047283E">
      <w:pPr>
        <w:jc w:val="both"/>
      </w:pPr>
    </w:p>
    <w:sectPr w:rsidR="001254D9" w:rsidRPr="00A34C14" w:rsidSect="003E2694">
      <w:pgSz w:w="11906" w:h="16838"/>
      <w:pgMar w:top="142" w:right="1417"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D6CD0"/>
    <w:multiLevelType w:val="hybridMultilevel"/>
    <w:tmpl w:val="8342215C"/>
    <w:lvl w:ilvl="0" w:tplc="099AA720">
      <w:start w:val="1"/>
      <w:numFmt w:val="bullet"/>
      <w:lvlText w:val="•"/>
      <w:lvlJc w:val="left"/>
      <w:pPr>
        <w:tabs>
          <w:tab w:val="num" w:pos="720"/>
        </w:tabs>
        <w:ind w:left="720" w:hanging="360"/>
      </w:pPr>
      <w:rPr>
        <w:rFonts w:ascii="Arial" w:hAnsi="Arial" w:hint="default"/>
      </w:rPr>
    </w:lvl>
    <w:lvl w:ilvl="1" w:tplc="16981EE6" w:tentative="1">
      <w:start w:val="1"/>
      <w:numFmt w:val="bullet"/>
      <w:lvlText w:val="•"/>
      <w:lvlJc w:val="left"/>
      <w:pPr>
        <w:tabs>
          <w:tab w:val="num" w:pos="1440"/>
        </w:tabs>
        <w:ind w:left="1440" w:hanging="360"/>
      </w:pPr>
      <w:rPr>
        <w:rFonts w:ascii="Arial" w:hAnsi="Arial" w:hint="default"/>
      </w:rPr>
    </w:lvl>
    <w:lvl w:ilvl="2" w:tplc="A4E804B0" w:tentative="1">
      <w:start w:val="1"/>
      <w:numFmt w:val="bullet"/>
      <w:lvlText w:val="•"/>
      <w:lvlJc w:val="left"/>
      <w:pPr>
        <w:tabs>
          <w:tab w:val="num" w:pos="2160"/>
        </w:tabs>
        <w:ind w:left="2160" w:hanging="360"/>
      </w:pPr>
      <w:rPr>
        <w:rFonts w:ascii="Arial" w:hAnsi="Arial" w:hint="default"/>
      </w:rPr>
    </w:lvl>
    <w:lvl w:ilvl="3" w:tplc="10169D40" w:tentative="1">
      <w:start w:val="1"/>
      <w:numFmt w:val="bullet"/>
      <w:lvlText w:val="•"/>
      <w:lvlJc w:val="left"/>
      <w:pPr>
        <w:tabs>
          <w:tab w:val="num" w:pos="2880"/>
        </w:tabs>
        <w:ind w:left="2880" w:hanging="360"/>
      </w:pPr>
      <w:rPr>
        <w:rFonts w:ascii="Arial" w:hAnsi="Arial" w:hint="default"/>
      </w:rPr>
    </w:lvl>
    <w:lvl w:ilvl="4" w:tplc="199E014A" w:tentative="1">
      <w:start w:val="1"/>
      <w:numFmt w:val="bullet"/>
      <w:lvlText w:val="•"/>
      <w:lvlJc w:val="left"/>
      <w:pPr>
        <w:tabs>
          <w:tab w:val="num" w:pos="3600"/>
        </w:tabs>
        <w:ind w:left="3600" w:hanging="360"/>
      </w:pPr>
      <w:rPr>
        <w:rFonts w:ascii="Arial" w:hAnsi="Arial" w:hint="default"/>
      </w:rPr>
    </w:lvl>
    <w:lvl w:ilvl="5" w:tplc="CF42B8D4" w:tentative="1">
      <w:start w:val="1"/>
      <w:numFmt w:val="bullet"/>
      <w:lvlText w:val="•"/>
      <w:lvlJc w:val="left"/>
      <w:pPr>
        <w:tabs>
          <w:tab w:val="num" w:pos="4320"/>
        </w:tabs>
        <w:ind w:left="4320" w:hanging="360"/>
      </w:pPr>
      <w:rPr>
        <w:rFonts w:ascii="Arial" w:hAnsi="Arial" w:hint="default"/>
      </w:rPr>
    </w:lvl>
    <w:lvl w:ilvl="6" w:tplc="1D2C659C" w:tentative="1">
      <w:start w:val="1"/>
      <w:numFmt w:val="bullet"/>
      <w:lvlText w:val="•"/>
      <w:lvlJc w:val="left"/>
      <w:pPr>
        <w:tabs>
          <w:tab w:val="num" w:pos="5040"/>
        </w:tabs>
        <w:ind w:left="5040" w:hanging="360"/>
      </w:pPr>
      <w:rPr>
        <w:rFonts w:ascii="Arial" w:hAnsi="Arial" w:hint="default"/>
      </w:rPr>
    </w:lvl>
    <w:lvl w:ilvl="7" w:tplc="7D966860" w:tentative="1">
      <w:start w:val="1"/>
      <w:numFmt w:val="bullet"/>
      <w:lvlText w:val="•"/>
      <w:lvlJc w:val="left"/>
      <w:pPr>
        <w:tabs>
          <w:tab w:val="num" w:pos="5760"/>
        </w:tabs>
        <w:ind w:left="5760" w:hanging="360"/>
      </w:pPr>
      <w:rPr>
        <w:rFonts w:ascii="Arial" w:hAnsi="Arial" w:hint="default"/>
      </w:rPr>
    </w:lvl>
    <w:lvl w:ilvl="8" w:tplc="B248EB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DD2111"/>
    <w:multiLevelType w:val="hybridMultilevel"/>
    <w:tmpl w:val="854C50C0"/>
    <w:lvl w:ilvl="0" w:tplc="6360B020">
      <w:start w:val="1"/>
      <w:numFmt w:val="bullet"/>
      <w:lvlText w:val="•"/>
      <w:lvlJc w:val="left"/>
      <w:pPr>
        <w:tabs>
          <w:tab w:val="num" w:pos="720"/>
        </w:tabs>
        <w:ind w:left="720" w:hanging="360"/>
      </w:pPr>
      <w:rPr>
        <w:rFonts w:ascii="Arial" w:hAnsi="Arial" w:hint="default"/>
      </w:rPr>
    </w:lvl>
    <w:lvl w:ilvl="1" w:tplc="4CF25676" w:tentative="1">
      <w:start w:val="1"/>
      <w:numFmt w:val="bullet"/>
      <w:lvlText w:val="•"/>
      <w:lvlJc w:val="left"/>
      <w:pPr>
        <w:tabs>
          <w:tab w:val="num" w:pos="1440"/>
        </w:tabs>
        <w:ind w:left="1440" w:hanging="360"/>
      </w:pPr>
      <w:rPr>
        <w:rFonts w:ascii="Arial" w:hAnsi="Arial" w:hint="default"/>
      </w:rPr>
    </w:lvl>
    <w:lvl w:ilvl="2" w:tplc="61A0B77A" w:tentative="1">
      <w:start w:val="1"/>
      <w:numFmt w:val="bullet"/>
      <w:lvlText w:val="•"/>
      <w:lvlJc w:val="left"/>
      <w:pPr>
        <w:tabs>
          <w:tab w:val="num" w:pos="2160"/>
        </w:tabs>
        <w:ind w:left="2160" w:hanging="360"/>
      </w:pPr>
      <w:rPr>
        <w:rFonts w:ascii="Arial" w:hAnsi="Arial" w:hint="default"/>
      </w:rPr>
    </w:lvl>
    <w:lvl w:ilvl="3" w:tplc="7304F7D2" w:tentative="1">
      <w:start w:val="1"/>
      <w:numFmt w:val="bullet"/>
      <w:lvlText w:val="•"/>
      <w:lvlJc w:val="left"/>
      <w:pPr>
        <w:tabs>
          <w:tab w:val="num" w:pos="2880"/>
        </w:tabs>
        <w:ind w:left="2880" w:hanging="360"/>
      </w:pPr>
      <w:rPr>
        <w:rFonts w:ascii="Arial" w:hAnsi="Arial" w:hint="default"/>
      </w:rPr>
    </w:lvl>
    <w:lvl w:ilvl="4" w:tplc="FBCEC49E" w:tentative="1">
      <w:start w:val="1"/>
      <w:numFmt w:val="bullet"/>
      <w:lvlText w:val="•"/>
      <w:lvlJc w:val="left"/>
      <w:pPr>
        <w:tabs>
          <w:tab w:val="num" w:pos="3600"/>
        </w:tabs>
        <w:ind w:left="3600" w:hanging="360"/>
      </w:pPr>
      <w:rPr>
        <w:rFonts w:ascii="Arial" w:hAnsi="Arial" w:hint="default"/>
      </w:rPr>
    </w:lvl>
    <w:lvl w:ilvl="5" w:tplc="87ECD5B4" w:tentative="1">
      <w:start w:val="1"/>
      <w:numFmt w:val="bullet"/>
      <w:lvlText w:val="•"/>
      <w:lvlJc w:val="left"/>
      <w:pPr>
        <w:tabs>
          <w:tab w:val="num" w:pos="4320"/>
        </w:tabs>
        <w:ind w:left="4320" w:hanging="360"/>
      </w:pPr>
      <w:rPr>
        <w:rFonts w:ascii="Arial" w:hAnsi="Arial" w:hint="default"/>
      </w:rPr>
    </w:lvl>
    <w:lvl w:ilvl="6" w:tplc="F4AC05C8" w:tentative="1">
      <w:start w:val="1"/>
      <w:numFmt w:val="bullet"/>
      <w:lvlText w:val="•"/>
      <w:lvlJc w:val="left"/>
      <w:pPr>
        <w:tabs>
          <w:tab w:val="num" w:pos="5040"/>
        </w:tabs>
        <w:ind w:left="5040" w:hanging="360"/>
      </w:pPr>
      <w:rPr>
        <w:rFonts w:ascii="Arial" w:hAnsi="Arial" w:hint="default"/>
      </w:rPr>
    </w:lvl>
    <w:lvl w:ilvl="7" w:tplc="31865ED6" w:tentative="1">
      <w:start w:val="1"/>
      <w:numFmt w:val="bullet"/>
      <w:lvlText w:val="•"/>
      <w:lvlJc w:val="left"/>
      <w:pPr>
        <w:tabs>
          <w:tab w:val="num" w:pos="5760"/>
        </w:tabs>
        <w:ind w:left="5760" w:hanging="360"/>
      </w:pPr>
      <w:rPr>
        <w:rFonts w:ascii="Arial" w:hAnsi="Arial" w:hint="default"/>
      </w:rPr>
    </w:lvl>
    <w:lvl w:ilvl="8" w:tplc="C7EC35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576316"/>
    <w:multiLevelType w:val="hybridMultilevel"/>
    <w:tmpl w:val="8BD25926"/>
    <w:lvl w:ilvl="0" w:tplc="ABF423F4">
      <w:start w:val="3"/>
      <w:numFmt w:val="upperRoman"/>
      <w:lvlText w:val="%1."/>
      <w:lvlJc w:val="left"/>
      <w:pPr>
        <w:ind w:left="1080" w:hanging="1080"/>
      </w:pPr>
      <w:rPr>
        <w:rFonts w:eastAsiaTheme="minorEastAsia" w:hAnsi="Calibri" w:hint="default"/>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8D25C83"/>
    <w:multiLevelType w:val="hybridMultilevel"/>
    <w:tmpl w:val="D286F324"/>
    <w:lvl w:ilvl="0" w:tplc="2CF2CB20">
      <w:start w:val="1"/>
      <w:numFmt w:val="bullet"/>
      <w:lvlText w:val="•"/>
      <w:lvlJc w:val="left"/>
      <w:pPr>
        <w:tabs>
          <w:tab w:val="num" w:pos="720"/>
        </w:tabs>
        <w:ind w:left="720" w:hanging="360"/>
      </w:pPr>
      <w:rPr>
        <w:rFonts w:ascii="Arial" w:hAnsi="Arial" w:hint="default"/>
      </w:rPr>
    </w:lvl>
    <w:lvl w:ilvl="1" w:tplc="244E3DEE" w:tentative="1">
      <w:start w:val="1"/>
      <w:numFmt w:val="bullet"/>
      <w:lvlText w:val="•"/>
      <w:lvlJc w:val="left"/>
      <w:pPr>
        <w:tabs>
          <w:tab w:val="num" w:pos="1440"/>
        </w:tabs>
        <w:ind w:left="1440" w:hanging="360"/>
      </w:pPr>
      <w:rPr>
        <w:rFonts w:ascii="Arial" w:hAnsi="Arial" w:hint="default"/>
      </w:rPr>
    </w:lvl>
    <w:lvl w:ilvl="2" w:tplc="3DFA1414" w:tentative="1">
      <w:start w:val="1"/>
      <w:numFmt w:val="bullet"/>
      <w:lvlText w:val="•"/>
      <w:lvlJc w:val="left"/>
      <w:pPr>
        <w:tabs>
          <w:tab w:val="num" w:pos="2160"/>
        </w:tabs>
        <w:ind w:left="2160" w:hanging="360"/>
      </w:pPr>
      <w:rPr>
        <w:rFonts w:ascii="Arial" w:hAnsi="Arial" w:hint="default"/>
      </w:rPr>
    </w:lvl>
    <w:lvl w:ilvl="3" w:tplc="970E713E" w:tentative="1">
      <w:start w:val="1"/>
      <w:numFmt w:val="bullet"/>
      <w:lvlText w:val="•"/>
      <w:lvlJc w:val="left"/>
      <w:pPr>
        <w:tabs>
          <w:tab w:val="num" w:pos="2880"/>
        </w:tabs>
        <w:ind w:left="2880" w:hanging="360"/>
      </w:pPr>
      <w:rPr>
        <w:rFonts w:ascii="Arial" w:hAnsi="Arial" w:hint="default"/>
      </w:rPr>
    </w:lvl>
    <w:lvl w:ilvl="4" w:tplc="CF62620E" w:tentative="1">
      <w:start w:val="1"/>
      <w:numFmt w:val="bullet"/>
      <w:lvlText w:val="•"/>
      <w:lvlJc w:val="left"/>
      <w:pPr>
        <w:tabs>
          <w:tab w:val="num" w:pos="3600"/>
        </w:tabs>
        <w:ind w:left="3600" w:hanging="360"/>
      </w:pPr>
      <w:rPr>
        <w:rFonts w:ascii="Arial" w:hAnsi="Arial" w:hint="default"/>
      </w:rPr>
    </w:lvl>
    <w:lvl w:ilvl="5" w:tplc="19EA8DB8" w:tentative="1">
      <w:start w:val="1"/>
      <w:numFmt w:val="bullet"/>
      <w:lvlText w:val="•"/>
      <w:lvlJc w:val="left"/>
      <w:pPr>
        <w:tabs>
          <w:tab w:val="num" w:pos="4320"/>
        </w:tabs>
        <w:ind w:left="4320" w:hanging="360"/>
      </w:pPr>
      <w:rPr>
        <w:rFonts w:ascii="Arial" w:hAnsi="Arial" w:hint="default"/>
      </w:rPr>
    </w:lvl>
    <w:lvl w:ilvl="6" w:tplc="2F229CFC" w:tentative="1">
      <w:start w:val="1"/>
      <w:numFmt w:val="bullet"/>
      <w:lvlText w:val="•"/>
      <w:lvlJc w:val="left"/>
      <w:pPr>
        <w:tabs>
          <w:tab w:val="num" w:pos="5040"/>
        </w:tabs>
        <w:ind w:left="5040" w:hanging="360"/>
      </w:pPr>
      <w:rPr>
        <w:rFonts w:ascii="Arial" w:hAnsi="Arial" w:hint="default"/>
      </w:rPr>
    </w:lvl>
    <w:lvl w:ilvl="7" w:tplc="F1B8E15A" w:tentative="1">
      <w:start w:val="1"/>
      <w:numFmt w:val="bullet"/>
      <w:lvlText w:val="•"/>
      <w:lvlJc w:val="left"/>
      <w:pPr>
        <w:tabs>
          <w:tab w:val="num" w:pos="5760"/>
        </w:tabs>
        <w:ind w:left="5760" w:hanging="360"/>
      </w:pPr>
      <w:rPr>
        <w:rFonts w:ascii="Arial" w:hAnsi="Arial" w:hint="default"/>
      </w:rPr>
    </w:lvl>
    <w:lvl w:ilvl="8" w:tplc="C310B2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7C5641"/>
    <w:multiLevelType w:val="hybridMultilevel"/>
    <w:tmpl w:val="78F854CE"/>
    <w:lvl w:ilvl="0" w:tplc="CE16BF2C">
      <w:start w:val="1"/>
      <w:numFmt w:val="bullet"/>
      <w:lvlText w:val="•"/>
      <w:lvlJc w:val="left"/>
      <w:pPr>
        <w:tabs>
          <w:tab w:val="num" w:pos="720"/>
        </w:tabs>
        <w:ind w:left="720" w:hanging="360"/>
      </w:pPr>
      <w:rPr>
        <w:rFonts w:ascii="Arial" w:hAnsi="Arial" w:hint="default"/>
      </w:rPr>
    </w:lvl>
    <w:lvl w:ilvl="1" w:tplc="987C59CE" w:tentative="1">
      <w:start w:val="1"/>
      <w:numFmt w:val="bullet"/>
      <w:lvlText w:val="•"/>
      <w:lvlJc w:val="left"/>
      <w:pPr>
        <w:tabs>
          <w:tab w:val="num" w:pos="1440"/>
        </w:tabs>
        <w:ind w:left="1440" w:hanging="360"/>
      </w:pPr>
      <w:rPr>
        <w:rFonts w:ascii="Arial" w:hAnsi="Arial" w:hint="default"/>
      </w:rPr>
    </w:lvl>
    <w:lvl w:ilvl="2" w:tplc="AC54827A" w:tentative="1">
      <w:start w:val="1"/>
      <w:numFmt w:val="bullet"/>
      <w:lvlText w:val="•"/>
      <w:lvlJc w:val="left"/>
      <w:pPr>
        <w:tabs>
          <w:tab w:val="num" w:pos="2160"/>
        </w:tabs>
        <w:ind w:left="2160" w:hanging="360"/>
      </w:pPr>
      <w:rPr>
        <w:rFonts w:ascii="Arial" w:hAnsi="Arial" w:hint="default"/>
      </w:rPr>
    </w:lvl>
    <w:lvl w:ilvl="3" w:tplc="1C624C9C" w:tentative="1">
      <w:start w:val="1"/>
      <w:numFmt w:val="bullet"/>
      <w:lvlText w:val="•"/>
      <w:lvlJc w:val="left"/>
      <w:pPr>
        <w:tabs>
          <w:tab w:val="num" w:pos="2880"/>
        </w:tabs>
        <w:ind w:left="2880" w:hanging="360"/>
      </w:pPr>
      <w:rPr>
        <w:rFonts w:ascii="Arial" w:hAnsi="Arial" w:hint="default"/>
      </w:rPr>
    </w:lvl>
    <w:lvl w:ilvl="4" w:tplc="5394C408" w:tentative="1">
      <w:start w:val="1"/>
      <w:numFmt w:val="bullet"/>
      <w:lvlText w:val="•"/>
      <w:lvlJc w:val="left"/>
      <w:pPr>
        <w:tabs>
          <w:tab w:val="num" w:pos="3600"/>
        </w:tabs>
        <w:ind w:left="3600" w:hanging="360"/>
      </w:pPr>
      <w:rPr>
        <w:rFonts w:ascii="Arial" w:hAnsi="Arial" w:hint="default"/>
      </w:rPr>
    </w:lvl>
    <w:lvl w:ilvl="5" w:tplc="DFF0ACE8" w:tentative="1">
      <w:start w:val="1"/>
      <w:numFmt w:val="bullet"/>
      <w:lvlText w:val="•"/>
      <w:lvlJc w:val="left"/>
      <w:pPr>
        <w:tabs>
          <w:tab w:val="num" w:pos="4320"/>
        </w:tabs>
        <w:ind w:left="4320" w:hanging="360"/>
      </w:pPr>
      <w:rPr>
        <w:rFonts w:ascii="Arial" w:hAnsi="Arial" w:hint="default"/>
      </w:rPr>
    </w:lvl>
    <w:lvl w:ilvl="6" w:tplc="BFD8430E" w:tentative="1">
      <w:start w:val="1"/>
      <w:numFmt w:val="bullet"/>
      <w:lvlText w:val="•"/>
      <w:lvlJc w:val="left"/>
      <w:pPr>
        <w:tabs>
          <w:tab w:val="num" w:pos="5040"/>
        </w:tabs>
        <w:ind w:left="5040" w:hanging="360"/>
      </w:pPr>
      <w:rPr>
        <w:rFonts w:ascii="Arial" w:hAnsi="Arial" w:hint="default"/>
      </w:rPr>
    </w:lvl>
    <w:lvl w:ilvl="7" w:tplc="E9C01F86" w:tentative="1">
      <w:start w:val="1"/>
      <w:numFmt w:val="bullet"/>
      <w:lvlText w:val="•"/>
      <w:lvlJc w:val="left"/>
      <w:pPr>
        <w:tabs>
          <w:tab w:val="num" w:pos="5760"/>
        </w:tabs>
        <w:ind w:left="5760" w:hanging="360"/>
      </w:pPr>
      <w:rPr>
        <w:rFonts w:ascii="Arial" w:hAnsi="Arial" w:hint="default"/>
      </w:rPr>
    </w:lvl>
    <w:lvl w:ilvl="8" w:tplc="BC4071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686B68"/>
    <w:multiLevelType w:val="hybridMultilevel"/>
    <w:tmpl w:val="7AF8E8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53621E1"/>
    <w:multiLevelType w:val="hybridMultilevel"/>
    <w:tmpl w:val="D06C6D36"/>
    <w:lvl w:ilvl="0" w:tplc="29586CF8">
      <w:start w:val="1"/>
      <w:numFmt w:val="bullet"/>
      <w:lvlText w:val="•"/>
      <w:lvlJc w:val="left"/>
      <w:pPr>
        <w:tabs>
          <w:tab w:val="num" w:pos="720"/>
        </w:tabs>
        <w:ind w:left="720" w:hanging="360"/>
      </w:pPr>
      <w:rPr>
        <w:rFonts w:ascii="Arial" w:hAnsi="Arial" w:hint="default"/>
      </w:rPr>
    </w:lvl>
    <w:lvl w:ilvl="1" w:tplc="F7447F6E" w:tentative="1">
      <w:start w:val="1"/>
      <w:numFmt w:val="bullet"/>
      <w:lvlText w:val="•"/>
      <w:lvlJc w:val="left"/>
      <w:pPr>
        <w:tabs>
          <w:tab w:val="num" w:pos="1440"/>
        </w:tabs>
        <w:ind w:left="1440" w:hanging="360"/>
      </w:pPr>
      <w:rPr>
        <w:rFonts w:ascii="Arial" w:hAnsi="Arial" w:hint="default"/>
      </w:rPr>
    </w:lvl>
    <w:lvl w:ilvl="2" w:tplc="1E46A424" w:tentative="1">
      <w:start w:val="1"/>
      <w:numFmt w:val="bullet"/>
      <w:lvlText w:val="•"/>
      <w:lvlJc w:val="left"/>
      <w:pPr>
        <w:tabs>
          <w:tab w:val="num" w:pos="2160"/>
        </w:tabs>
        <w:ind w:left="2160" w:hanging="360"/>
      </w:pPr>
      <w:rPr>
        <w:rFonts w:ascii="Arial" w:hAnsi="Arial" w:hint="default"/>
      </w:rPr>
    </w:lvl>
    <w:lvl w:ilvl="3" w:tplc="816A67A0" w:tentative="1">
      <w:start w:val="1"/>
      <w:numFmt w:val="bullet"/>
      <w:lvlText w:val="•"/>
      <w:lvlJc w:val="left"/>
      <w:pPr>
        <w:tabs>
          <w:tab w:val="num" w:pos="2880"/>
        </w:tabs>
        <w:ind w:left="2880" w:hanging="360"/>
      </w:pPr>
      <w:rPr>
        <w:rFonts w:ascii="Arial" w:hAnsi="Arial" w:hint="default"/>
      </w:rPr>
    </w:lvl>
    <w:lvl w:ilvl="4" w:tplc="E5BCEA8C" w:tentative="1">
      <w:start w:val="1"/>
      <w:numFmt w:val="bullet"/>
      <w:lvlText w:val="•"/>
      <w:lvlJc w:val="left"/>
      <w:pPr>
        <w:tabs>
          <w:tab w:val="num" w:pos="3600"/>
        </w:tabs>
        <w:ind w:left="3600" w:hanging="360"/>
      </w:pPr>
      <w:rPr>
        <w:rFonts w:ascii="Arial" w:hAnsi="Arial" w:hint="default"/>
      </w:rPr>
    </w:lvl>
    <w:lvl w:ilvl="5" w:tplc="99607760" w:tentative="1">
      <w:start w:val="1"/>
      <w:numFmt w:val="bullet"/>
      <w:lvlText w:val="•"/>
      <w:lvlJc w:val="left"/>
      <w:pPr>
        <w:tabs>
          <w:tab w:val="num" w:pos="4320"/>
        </w:tabs>
        <w:ind w:left="4320" w:hanging="360"/>
      </w:pPr>
      <w:rPr>
        <w:rFonts w:ascii="Arial" w:hAnsi="Arial" w:hint="default"/>
      </w:rPr>
    </w:lvl>
    <w:lvl w:ilvl="6" w:tplc="1834FA5A" w:tentative="1">
      <w:start w:val="1"/>
      <w:numFmt w:val="bullet"/>
      <w:lvlText w:val="•"/>
      <w:lvlJc w:val="left"/>
      <w:pPr>
        <w:tabs>
          <w:tab w:val="num" w:pos="5040"/>
        </w:tabs>
        <w:ind w:left="5040" w:hanging="360"/>
      </w:pPr>
      <w:rPr>
        <w:rFonts w:ascii="Arial" w:hAnsi="Arial" w:hint="default"/>
      </w:rPr>
    </w:lvl>
    <w:lvl w:ilvl="7" w:tplc="DD0CA792" w:tentative="1">
      <w:start w:val="1"/>
      <w:numFmt w:val="bullet"/>
      <w:lvlText w:val="•"/>
      <w:lvlJc w:val="left"/>
      <w:pPr>
        <w:tabs>
          <w:tab w:val="num" w:pos="5760"/>
        </w:tabs>
        <w:ind w:left="5760" w:hanging="360"/>
      </w:pPr>
      <w:rPr>
        <w:rFonts w:ascii="Arial" w:hAnsi="Arial" w:hint="default"/>
      </w:rPr>
    </w:lvl>
    <w:lvl w:ilvl="8" w:tplc="3ACAAD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B3F1757"/>
    <w:multiLevelType w:val="hybridMultilevel"/>
    <w:tmpl w:val="1B4CBCB2"/>
    <w:lvl w:ilvl="0" w:tplc="8B7699E4">
      <w:start w:val="1"/>
      <w:numFmt w:val="bullet"/>
      <w:lvlText w:val="•"/>
      <w:lvlJc w:val="left"/>
      <w:pPr>
        <w:tabs>
          <w:tab w:val="num" w:pos="720"/>
        </w:tabs>
        <w:ind w:left="720" w:hanging="360"/>
      </w:pPr>
      <w:rPr>
        <w:rFonts w:ascii="Arial" w:hAnsi="Arial" w:hint="default"/>
      </w:rPr>
    </w:lvl>
    <w:lvl w:ilvl="1" w:tplc="532AFA80" w:tentative="1">
      <w:start w:val="1"/>
      <w:numFmt w:val="bullet"/>
      <w:lvlText w:val="•"/>
      <w:lvlJc w:val="left"/>
      <w:pPr>
        <w:tabs>
          <w:tab w:val="num" w:pos="1440"/>
        </w:tabs>
        <w:ind w:left="1440" w:hanging="360"/>
      </w:pPr>
      <w:rPr>
        <w:rFonts w:ascii="Arial" w:hAnsi="Arial" w:hint="default"/>
      </w:rPr>
    </w:lvl>
    <w:lvl w:ilvl="2" w:tplc="957C5E58" w:tentative="1">
      <w:start w:val="1"/>
      <w:numFmt w:val="bullet"/>
      <w:lvlText w:val="•"/>
      <w:lvlJc w:val="left"/>
      <w:pPr>
        <w:tabs>
          <w:tab w:val="num" w:pos="2160"/>
        </w:tabs>
        <w:ind w:left="2160" w:hanging="360"/>
      </w:pPr>
      <w:rPr>
        <w:rFonts w:ascii="Arial" w:hAnsi="Arial" w:hint="default"/>
      </w:rPr>
    </w:lvl>
    <w:lvl w:ilvl="3" w:tplc="DF00B5AA" w:tentative="1">
      <w:start w:val="1"/>
      <w:numFmt w:val="bullet"/>
      <w:lvlText w:val="•"/>
      <w:lvlJc w:val="left"/>
      <w:pPr>
        <w:tabs>
          <w:tab w:val="num" w:pos="2880"/>
        </w:tabs>
        <w:ind w:left="2880" w:hanging="360"/>
      </w:pPr>
      <w:rPr>
        <w:rFonts w:ascii="Arial" w:hAnsi="Arial" w:hint="default"/>
      </w:rPr>
    </w:lvl>
    <w:lvl w:ilvl="4" w:tplc="AA0AEF36" w:tentative="1">
      <w:start w:val="1"/>
      <w:numFmt w:val="bullet"/>
      <w:lvlText w:val="•"/>
      <w:lvlJc w:val="left"/>
      <w:pPr>
        <w:tabs>
          <w:tab w:val="num" w:pos="3600"/>
        </w:tabs>
        <w:ind w:left="3600" w:hanging="360"/>
      </w:pPr>
      <w:rPr>
        <w:rFonts w:ascii="Arial" w:hAnsi="Arial" w:hint="default"/>
      </w:rPr>
    </w:lvl>
    <w:lvl w:ilvl="5" w:tplc="897608BA" w:tentative="1">
      <w:start w:val="1"/>
      <w:numFmt w:val="bullet"/>
      <w:lvlText w:val="•"/>
      <w:lvlJc w:val="left"/>
      <w:pPr>
        <w:tabs>
          <w:tab w:val="num" w:pos="4320"/>
        </w:tabs>
        <w:ind w:left="4320" w:hanging="360"/>
      </w:pPr>
      <w:rPr>
        <w:rFonts w:ascii="Arial" w:hAnsi="Arial" w:hint="default"/>
      </w:rPr>
    </w:lvl>
    <w:lvl w:ilvl="6" w:tplc="3BFCAAEA" w:tentative="1">
      <w:start w:val="1"/>
      <w:numFmt w:val="bullet"/>
      <w:lvlText w:val="•"/>
      <w:lvlJc w:val="left"/>
      <w:pPr>
        <w:tabs>
          <w:tab w:val="num" w:pos="5040"/>
        </w:tabs>
        <w:ind w:left="5040" w:hanging="360"/>
      </w:pPr>
      <w:rPr>
        <w:rFonts w:ascii="Arial" w:hAnsi="Arial" w:hint="default"/>
      </w:rPr>
    </w:lvl>
    <w:lvl w:ilvl="7" w:tplc="78FE3AB6" w:tentative="1">
      <w:start w:val="1"/>
      <w:numFmt w:val="bullet"/>
      <w:lvlText w:val="•"/>
      <w:lvlJc w:val="left"/>
      <w:pPr>
        <w:tabs>
          <w:tab w:val="num" w:pos="5760"/>
        </w:tabs>
        <w:ind w:left="5760" w:hanging="360"/>
      </w:pPr>
      <w:rPr>
        <w:rFonts w:ascii="Arial" w:hAnsi="Arial" w:hint="default"/>
      </w:rPr>
    </w:lvl>
    <w:lvl w:ilvl="8" w:tplc="E8DE4BA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
  </w:num>
  <w:num w:numId="3">
    <w:abstractNumId w:val="1"/>
  </w:num>
  <w:num w:numId="4">
    <w:abstractNumId w:val="0"/>
  </w:num>
  <w:num w:numId="5">
    <w:abstractNumId w:val="7"/>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A3BF0"/>
    <w:rsid w:val="00000530"/>
    <w:rsid w:val="00004DD6"/>
    <w:rsid w:val="0001420C"/>
    <w:rsid w:val="00030086"/>
    <w:rsid w:val="00036E49"/>
    <w:rsid w:val="000578B6"/>
    <w:rsid w:val="000664D2"/>
    <w:rsid w:val="000707AE"/>
    <w:rsid w:val="000805CC"/>
    <w:rsid w:val="00081AB6"/>
    <w:rsid w:val="000A329E"/>
    <w:rsid w:val="000C1BA8"/>
    <w:rsid w:val="000D201E"/>
    <w:rsid w:val="000F5860"/>
    <w:rsid w:val="001254D9"/>
    <w:rsid w:val="00127CEC"/>
    <w:rsid w:val="0014051E"/>
    <w:rsid w:val="00180195"/>
    <w:rsid w:val="0018521D"/>
    <w:rsid w:val="001853D3"/>
    <w:rsid w:val="001964B2"/>
    <w:rsid w:val="001A0DD7"/>
    <w:rsid w:val="001A5B47"/>
    <w:rsid w:val="001D1520"/>
    <w:rsid w:val="001D26FE"/>
    <w:rsid w:val="001E1158"/>
    <w:rsid w:val="001F0CE6"/>
    <w:rsid w:val="00221D5D"/>
    <w:rsid w:val="00252190"/>
    <w:rsid w:val="00277B62"/>
    <w:rsid w:val="00282E53"/>
    <w:rsid w:val="002B3989"/>
    <w:rsid w:val="002E4887"/>
    <w:rsid w:val="002E71AC"/>
    <w:rsid w:val="00306992"/>
    <w:rsid w:val="00326E57"/>
    <w:rsid w:val="00344D2C"/>
    <w:rsid w:val="00370361"/>
    <w:rsid w:val="00373442"/>
    <w:rsid w:val="00375513"/>
    <w:rsid w:val="003B48F0"/>
    <w:rsid w:val="003E2694"/>
    <w:rsid w:val="004152AE"/>
    <w:rsid w:val="0042737A"/>
    <w:rsid w:val="00456D80"/>
    <w:rsid w:val="004636DD"/>
    <w:rsid w:val="00463DE9"/>
    <w:rsid w:val="0047283E"/>
    <w:rsid w:val="004858FA"/>
    <w:rsid w:val="004A63DC"/>
    <w:rsid w:val="004D06AD"/>
    <w:rsid w:val="004D1293"/>
    <w:rsid w:val="004D4FDF"/>
    <w:rsid w:val="004D507A"/>
    <w:rsid w:val="004E07B0"/>
    <w:rsid w:val="004F02AF"/>
    <w:rsid w:val="004F4438"/>
    <w:rsid w:val="00502080"/>
    <w:rsid w:val="0053731F"/>
    <w:rsid w:val="00554A1B"/>
    <w:rsid w:val="005643D0"/>
    <w:rsid w:val="00576177"/>
    <w:rsid w:val="00577EC7"/>
    <w:rsid w:val="00580492"/>
    <w:rsid w:val="005A5A93"/>
    <w:rsid w:val="005C58BB"/>
    <w:rsid w:val="005C7134"/>
    <w:rsid w:val="005D1BF3"/>
    <w:rsid w:val="005E45D5"/>
    <w:rsid w:val="005E5688"/>
    <w:rsid w:val="005E7CCF"/>
    <w:rsid w:val="005F546E"/>
    <w:rsid w:val="00603D07"/>
    <w:rsid w:val="0060689E"/>
    <w:rsid w:val="00636735"/>
    <w:rsid w:val="00646FDA"/>
    <w:rsid w:val="00652494"/>
    <w:rsid w:val="006552BB"/>
    <w:rsid w:val="00656B62"/>
    <w:rsid w:val="006828C2"/>
    <w:rsid w:val="006E405D"/>
    <w:rsid w:val="006F13E3"/>
    <w:rsid w:val="0070173C"/>
    <w:rsid w:val="007218DF"/>
    <w:rsid w:val="00727A9C"/>
    <w:rsid w:val="0075192A"/>
    <w:rsid w:val="00756D7B"/>
    <w:rsid w:val="0076371C"/>
    <w:rsid w:val="00766716"/>
    <w:rsid w:val="00785385"/>
    <w:rsid w:val="00787DD5"/>
    <w:rsid w:val="0079561F"/>
    <w:rsid w:val="007B3F14"/>
    <w:rsid w:val="007B7190"/>
    <w:rsid w:val="007C150F"/>
    <w:rsid w:val="007C4E34"/>
    <w:rsid w:val="007F3BD2"/>
    <w:rsid w:val="007F4332"/>
    <w:rsid w:val="007F5286"/>
    <w:rsid w:val="00802A08"/>
    <w:rsid w:val="00813438"/>
    <w:rsid w:val="00820F7E"/>
    <w:rsid w:val="00833D8E"/>
    <w:rsid w:val="00841753"/>
    <w:rsid w:val="00845519"/>
    <w:rsid w:val="00855D5A"/>
    <w:rsid w:val="00877601"/>
    <w:rsid w:val="00895BEB"/>
    <w:rsid w:val="0089676D"/>
    <w:rsid w:val="0089696D"/>
    <w:rsid w:val="008D0D24"/>
    <w:rsid w:val="008E1310"/>
    <w:rsid w:val="008E3620"/>
    <w:rsid w:val="008F263D"/>
    <w:rsid w:val="00902004"/>
    <w:rsid w:val="00962CB2"/>
    <w:rsid w:val="009825A9"/>
    <w:rsid w:val="009856BB"/>
    <w:rsid w:val="00995662"/>
    <w:rsid w:val="00A16225"/>
    <w:rsid w:val="00A34C14"/>
    <w:rsid w:val="00A44FF8"/>
    <w:rsid w:val="00A46B0C"/>
    <w:rsid w:val="00A47E97"/>
    <w:rsid w:val="00A512B0"/>
    <w:rsid w:val="00A53D39"/>
    <w:rsid w:val="00A57C99"/>
    <w:rsid w:val="00A762F0"/>
    <w:rsid w:val="00A825DE"/>
    <w:rsid w:val="00A828B5"/>
    <w:rsid w:val="00A8431F"/>
    <w:rsid w:val="00AA64BF"/>
    <w:rsid w:val="00AB72FC"/>
    <w:rsid w:val="00AC1939"/>
    <w:rsid w:val="00AD1055"/>
    <w:rsid w:val="00AD10BA"/>
    <w:rsid w:val="00AE5044"/>
    <w:rsid w:val="00B01D77"/>
    <w:rsid w:val="00B14510"/>
    <w:rsid w:val="00B454CF"/>
    <w:rsid w:val="00B53010"/>
    <w:rsid w:val="00B57A52"/>
    <w:rsid w:val="00BA13BF"/>
    <w:rsid w:val="00BA4278"/>
    <w:rsid w:val="00BA4E0B"/>
    <w:rsid w:val="00BD14FD"/>
    <w:rsid w:val="00BE5CE9"/>
    <w:rsid w:val="00BE79A3"/>
    <w:rsid w:val="00C05FFD"/>
    <w:rsid w:val="00C07A3D"/>
    <w:rsid w:val="00C42B36"/>
    <w:rsid w:val="00C67C97"/>
    <w:rsid w:val="00C74A67"/>
    <w:rsid w:val="00CB137F"/>
    <w:rsid w:val="00CD3117"/>
    <w:rsid w:val="00CF08FB"/>
    <w:rsid w:val="00CF7ED2"/>
    <w:rsid w:val="00D03378"/>
    <w:rsid w:val="00D126B9"/>
    <w:rsid w:val="00D407BC"/>
    <w:rsid w:val="00D94546"/>
    <w:rsid w:val="00DD55F3"/>
    <w:rsid w:val="00DE3D0B"/>
    <w:rsid w:val="00DE4147"/>
    <w:rsid w:val="00DF23A4"/>
    <w:rsid w:val="00E0415F"/>
    <w:rsid w:val="00E05BFA"/>
    <w:rsid w:val="00E14FE3"/>
    <w:rsid w:val="00E2506F"/>
    <w:rsid w:val="00E25DBF"/>
    <w:rsid w:val="00E50123"/>
    <w:rsid w:val="00E63162"/>
    <w:rsid w:val="00E66243"/>
    <w:rsid w:val="00E824EB"/>
    <w:rsid w:val="00EA73B9"/>
    <w:rsid w:val="00EB1F0A"/>
    <w:rsid w:val="00ED6B87"/>
    <w:rsid w:val="00EF4D83"/>
    <w:rsid w:val="00F17153"/>
    <w:rsid w:val="00F3414F"/>
    <w:rsid w:val="00F35104"/>
    <w:rsid w:val="00F352FF"/>
    <w:rsid w:val="00F434D4"/>
    <w:rsid w:val="00F51746"/>
    <w:rsid w:val="00F52EAA"/>
    <w:rsid w:val="00F66FC2"/>
    <w:rsid w:val="00FA3BF0"/>
    <w:rsid w:val="00FB0F1E"/>
    <w:rsid w:val="00FB108D"/>
    <w:rsid w:val="00FB2EE0"/>
    <w:rsid w:val="00FB4D09"/>
    <w:rsid w:val="00FB5A4C"/>
    <w:rsid w:val="00FC2AE5"/>
    <w:rsid w:val="00FE2867"/>
    <w:rsid w:val="00FE520C"/>
    <w:rsid w:val="00FF32C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1C0A04"/>
  <w15:docId w15:val="{F07B2614-A6F3-4054-94D9-2411E791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4887"/>
  </w:style>
  <w:style w:type="paragraph" w:styleId="Nagwek4">
    <w:name w:val="heading 4"/>
    <w:basedOn w:val="Normalny"/>
    <w:link w:val="Nagwek4Znak"/>
    <w:uiPriority w:val="9"/>
    <w:qFormat/>
    <w:rsid w:val="005F546E"/>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5F546E"/>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4D507A"/>
    <w:pPr>
      <w:spacing w:after="0" w:line="240" w:lineRule="auto"/>
      <w:ind w:left="720"/>
      <w:contextualSpacing/>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14051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A63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63DC"/>
    <w:rPr>
      <w:rFonts w:ascii="Tahoma" w:hAnsi="Tahoma" w:cs="Tahoma"/>
      <w:sz w:val="16"/>
      <w:szCs w:val="16"/>
    </w:rPr>
  </w:style>
  <w:style w:type="paragraph" w:customStyle="1" w:styleId="Default">
    <w:name w:val="Default"/>
    <w:rsid w:val="0084175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12201">
      <w:bodyDiv w:val="1"/>
      <w:marLeft w:val="0"/>
      <w:marRight w:val="0"/>
      <w:marTop w:val="0"/>
      <w:marBottom w:val="0"/>
      <w:divBdr>
        <w:top w:val="none" w:sz="0" w:space="0" w:color="auto"/>
        <w:left w:val="none" w:sz="0" w:space="0" w:color="auto"/>
        <w:bottom w:val="none" w:sz="0" w:space="0" w:color="auto"/>
        <w:right w:val="none" w:sz="0" w:space="0" w:color="auto"/>
      </w:divBdr>
      <w:divsChild>
        <w:div w:id="1201162712">
          <w:marLeft w:val="547"/>
          <w:marRight w:val="0"/>
          <w:marTop w:val="154"/>
          <w:marBottom w:val="0"/>
          <w:divBdr>
            <w:top w:val="none" w:sz="0" w:space="0" w:color="auto"/>
            <w:left w:val="none" w:sz="0" w:space="0" w:color="auto"/>
            <w:bottom w:val="none" w:sz="0" w:space="0" w:color="auto"/>
            <w:right w:val="none" w:sz="0" w:space="0" w:color="auto"/>
          </w:divBdr>
        </w:div>
      </w:divsChild>
    </w:div>
    <w:div w:id="102041569">
      <w:bodyDiv w:val="1"/>
      <w:marLeft w:val="0"/>
      <w:marRight w:val="0"/>
      <w:marTop w:val="0"/>
      <w:marBottom w:val="0"/>
      <w:divBdr>
        <w:top w:val="none" w:sz="0" w:space="0" w:color="auto"/>
        <w:left w:val="none" w:sz="0" w:space="0" w:color="auto"/>
        <w:bottom w:val="none" w:sz="0" w:space="0" w:color="auto"/>
        <w:right w:val="none" w:sz="0" w:space="0" w:color="auto"/>
      </w:divBdr>
    </w:div>
    <w:div w:id="645429892">
      <w:bodyDiv w:val="1"/>
      <w:marLeft w:val="0"/>
      <w:marRight w:val="0"/>
      <w:marTop w:val="0"/>
      <w:marBottom w:val="0"/>
      <w:divBdr>
        <w:top w:val="none" w:sz="0" w:space="0" w:color="auto"/>
        <w:left w:val="none" w:sz="0" w:space="0" w:color="auto"/>
        <w:bottom w:val="none" w:sz="0" w:space="0" w:color="auto"/>
        <w:right w:val="none" w:sz="0" w:space="0" w:color="auto"/>
      </w:divBdr>
    </w:div>
    <w:div w:id="687177365">
      <w:bodyDiv w:val="1"/>
      <w:marLeft w:val="0"/>
      <w:marRight w:val="0"/>
      <w:marTop w:val="0"/>
      <w:marBottom w:val="0"/>
      <w:divBdr>
        <w:top w:val="none" w:sz="0" w:space="0" w:color="auto"/>
        <w:left w:val="none" w:sz="0" w:space="0" w:color="auto"/>
        <w:bottom w:val="none" w:sz="0" w:space="0" w:color="auto"/>
        <w:right w:val="none" w:sz="0" w:space="0" w:color="auto"/>
      </w:divBdr>
    </w:div>
    <w:div w:id="832915619">
      <w:bodyDiv w:val="1"/>
      <w:marLeft w:val="0"/>
      <w:marRight w:val="0"/>
      <w:marTop w:val="0"/>
      <w:marBottom w:val="0"/>
      <w:divBdr>
        <w:top w:val="none" w:sz="0" w:space="0" w:color="auto"/>
        <w:left w:val="none" w:sz="0" w:space="0" w:color="auto"/>
        <w:bottom w:val="none" w:sz="0" w:space="0" w:color="auto"/>
        <w:right w:val="none" w:sz="0" w:space="0" w:color="auto"/>
      </w:divBdr>
      <w:divsChild>
        <w:div w:id="1717703292">
          <w:marLeft w:val="547"/>
          <w:marRight w:val="0"/>
          <w:marTop w:val="154"/>
          <w:marBottom w:val="0"/>
          <w:divBdr>
            <w:top w:val="none" w:sz="0" w:space="0" w:color="auto"/>
            <w:left w:val="none" w:sz="0" w:space="0" w:color="auto"/>
            <w:bottom w:val="none" w:sz="0" w:space="0" w:color="auto"/>
            <w:right w:val="none" w:sz="0" w:space="0" w:color="auto"/>
          </w:divBdr>
        </w:div>
      </w:divsChild>
    </w:div>
    <w:div w:id="927694152">
      <w:bodyDiv w:val="1"/>
      <w:marLeft w:val="0"/>
      <w:marRight w:val="0"/>
      <w:marTop w:val="0"/>
      <w:marBottom w:val="0"/>
      <w:divBdr>
        <w:top w:val="none" w:sz="0" w:space="0" w:color="auto"/>
        <w:left w:val="none" w:sz="0" w:space="0" w:color="auto"/>
        <w:bottom w:val="none" w:sz="0" w:space="0" w:color="auto"/>
        <w:right w:val="none" w:sz="0" w:space="0" w:color="auto"/>
      </w:divBdr>
    </w:div>
    <w:div w:id="1179853462">
      <w:bodyDiv w:val="1"/>
      <w:marLeft w:val="0"/>
      <w:marRight w:val="0"/>
      <w:marTop w:val="0"/>
      <w:marBottom w:val="0"/>
      <w:divBdr>
        <w:top w:val="none" w:sz="0" w:space="0" w:color="auto"/>
        <w:left w:val="none" w:sz="0" w:space="0" w:color="auto"/>
        <w:bottom w:val="none" w:sz="0" w:space="0" w:color="auto"/>
        <w:right w:val="none" w:sz="0" w:space="0" w:color="auto"/>
      </w:divBdr>
      <w:divsChild>
        <w:div w:id="2129664354">
          <w:marLeft w:val="547"/>
          <w:marRight w:val="0"/>
          <w:marTop w:val="144"/>
          <w:marBottom w:val="0"/>
          <w:divBdr>
            <w:top w:val="none" w:sz="0" w:space="0" w:color="auto"/>
            <w:left w:val="none" w:sz="0" w:space="0" w:color="auto"/>
            <w:bottom w:val="none" w:sz="0" w:space="0" w:color="auto"/>
            <w:right w:val="none" w:sz="0" w:space="0" w:color="auto"/>
          </w:divBdr>
        </w:div>
      </w:divsChild>
    </w:div>
    <w:div w:id="1443499576">
      <w:bodyDiv w:val="1"/>
      <w:marLeft w:val="0"/>
      <w:marRight w:val="0"/>
      <w:marTop w:val="0"/>
      <w:marBottom w:val="0"/>
      <w:divBdr>
        <w:top w:val="none" w:sz="0" w:space="0" w:color="auto"/>
        <w:left w:val="none" w:sz="0" w:space="0" w:color="auto"/>
        <w:bottom w:val="none" w:sz="0" w:space="0" w:color="auto"/>
        <w:right w:val="none" w:sz="0" w:space="0" w:color="auto"/>
      </w:divBdr>
      <w:divsChild>
        <w:div w:id="900288263">
          <w:marLeft w:val="547"/>
          <w:marRight w:val="0"/>
          <w:marTop w:val="154"/>
          <w:marBottom w:val="0"/>
          <w:divBdr>
            <w:top w:val="none" w:sz="0" w:space="0" w:color="auto"/>
            <w:left w:val="none" w:sz="0" w:space="0" w:color="auto"/>
            <w:bottom w:val="none" w:sz="0" w:space="0" w:color="auto"/>
            <w:right w:val="none" w:sz="0" w:space="0" w:color="auto"/>
          </w:divBdr>
        </w:div>
      </w:divsChild>
    </w:div>
    <w:div w:id="1595044871">
      <w:bodyDiv w:val="1"/>
      <w:marLeft w:val="0"/>
      <w:marRight w:val="0"/>
      <w:marTop w:val="0"/>
      <w:marBottom w:val="0"/>
      <w:divBdr>
        <w:top w:val="none" w:sz="0" w:space="0" w:color="auto"/>
        <w:left w:val="none" w:sz="0" w:space="0" w:color="auto"/>
        <w:bottom w:val="none" w:sz="0" w:space="0" w:color="auto"/>
        <w:right w:val="none" w:sz="0" w:space="0" w:color="auto"/>
      </w:divBdr>
      <w:divsChild>
        <w:div w:id="735592211">
          <w:marLeft w:val="547"/>
          <w:marRight w:val="0"/>
          <w:marTop w:val="154"/>
          <w:marBottom w:val="0"/>
          <w:divBdr>
            <w:top w:val="none" w:sz="0" w:space="0" w:color="auto"/>
            <w:left w:val="none" w:sz="0" w:space="0" w:color="auto"/>
            <w:bottom w:val="none" w:sz="0" w:space="0" w:color="auto"/>
            <w:right w:val="none" w:sz="0" w:space="0" w:color="auto"/>
          </w:divBdr>
        </w:div>
      </w:divsChild>
    </w:div>
    <w:div w:id="1632859544">
      <w:bodyDiv w:val="1"/>
      <w:marLeft w:val="0"/>
      <w:marRight w:val="0"/>
      <w:marTop w:val="0"/>
      <w:marBottom w:val="0"/>
      <w:divBdr>
        <w:top w:val="none" w:sz="0" w:space="0" w:color="auto"/>
        <w:left w:val="none" w:sz="0" w:space="0" w:color="auto"/>
        <w:bottom w:val="none" w:sz="0" w:space="0" w:color="auto"/>
        <w:right w:val="none" w:sz="0" w:space="0" w:color="auto"/>
      </w:divBdr>
      <w:divsChild>
        <w:div w:id="1330252366">
          <w:marLeft w:val="547"/>
          <w:marRight w:val="0"/>
          <w:marTop w:val="154"/>
          <w:marBottom w:val="0"/>
          <w:divBdr>
            <w:top w:val="none" w:sz="0" w:space="0" w:color="auto"/>
            <w:left w:val="none" w:sz="0" w:space="0" w:color="auto"/>
            <w:bottom w:val="none" w:sz="0" w:space="0" w:color="auto"/>
            <w:right w:val="none" w:sz="0" w:space="0" w:color="auto"/>
          </w:divBdr>
        </w:div>
      </w:divsChild>
    </w:div>
    <w:div w:id="1971936932">
      <w:bodyDiv w:val="1"/>
      <w:marLeft w:val="0"/>
      <w:marRight w:val="0"/>
      <w:marTop w:val="0"/>
      <w:marBottom w:val="0"/>
      <w:divBdr>
        <w:top w:val="none" w:sz="0" w:space="0" w:color="auto"/>
        <w:left w:val="none" w:sz="0" w:space="0" w:color="auto"/>
        <w:bottom w:val="none" w:sz="0" w:space="0" w:color="auto"/>
        <w:right w:val="none" w:sz="0" w:space="0" w:color="auto"/>
      </w:divBdr>
    </w:div>
    <w:div w:id="2098283949">
      <w:bodyDiv w:val="1"/>
      <w:marLeft w:val="0"/>
      <w:marRight w:val="0"/>
      <w:marTop w:val="0"/>
      <w:marBottom w:val="0"/>
      <w:divBdr>
        <w:top w:val="none" w:sz="0" w:space="0" w:color="auto"/>
        <w:left w:val="none" w:sz="0" w:space="0" w:color="auto"/>
        <w:bottom w:val="none" w:sz="0" w:space="0" w:color="auto"/>
        <w:right w:val="none" w:sz="0" w:space="0" w:color="auto"/>
      </w:divBdr>
    </w:div>
    <w:div w:id="214599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277D7-54C1-4B04-9907-446F46AB1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2546</Words>
  <Characters>15282</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Mirosława Nowak</cp:lastModifiedBy>
  <cp:revision>22</cp:revision>
  <cp:lastPrinted>2020-09-24T08:25:00Z</cp:lastPrinted>
  <dcterms:created xsi:type="dcterms:W3CDTF">2019-05-15T11:20:00Z</dcterms:created>
  <dcterms:modified xsi:type="dcterms:W3CDTF">2020-09-25T09:03:00Z</dcterms:modified>
</cp:coreProperties>
</file>