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24" w:rsidRPr="00CA3D24" w:rsidRDefault="00CA3D24" w:rsidP="00120F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Szamotuły, dnia </w:t>
      </w:r>
      <w:r w:rsidR="009840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09 </w:t>
      </w:r>
      <w:r w:rsidR="0070540F" w:rsidRPr="007054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</w:t>
      </w:r>
      <w:r w:rsidR="007054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3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 r.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OGŁOSZENIE </w:t>
      </w:r>
    </w:p>
    <w:p w:rsidR="00CA3D24" w:rsidRPr="009840F3" w:rsidRDefault="00CA3D24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9840F3">
        <w:rPr>
          <w:rFonts w:ascii="Times New Roman" w:eastAsia="Times New Roman" w:hAnsi="Times New Roman" w:cs="Times New Roman"/>
          <w:b/>
          <w:bCs/>
          <w:sz w:val="28"/>
          <w:szCs w:val="30"/>
          <w:lang w:eastAsia="pl-PL"/>
        </w:rPr>
        <w:t>O ZAPROSZENIU DO</w:t>
      </w:r>
      <w:r w:rsidR="00B53C62" w:rsidRPr="009840F3">
        <w:rPr>
          <w:rFonts w:ascii="Times New Roman" w:eastAsia="Times New Roman" w:hAnsi="Times New Roman" w:cs="Times New Roman"/>
          <w:b/>
          <w:bCs/>
          <w:sz w:val="28"/>
          <w:szCs w:val="30"/>
          <w:lang w:eastAsia="pl-PL"/>
        </w:rPr>
        <w:t xml:space="preserve"> PODJĘCIA</w:t>
      </w:r>
      <w:r w:rsidRPr="009840F3">
        <w:rPr>
          <w:rFonts w:ascii="Times New Roman" w:eastAsia="Times New Roman" w:hAnsi="Times New Roman" w:cs="Times New Roman"/>
          <w:b/>
          <w:bCs/>
          <w:sz w:val="28"/>
          <w:szCs w:val="30"/>
          <w:lang w:eastAsia="pl-PL"/>
        </w:rPr>
        <w:t xml:space="preserve"> NEGOCJACJI W SPRAWIE WYNAJMU LOKALU UŻYTKOWEGO </w:t>
      </w:r>
      <w:r w:rsidR="009840F3">
        <w:rPr>
          <w:rFonts w:ascii="Times New Roman" w:eastAsia="Times New Roman" w:hAnsi="Times New Roman" w:cs="Times New Roman"/>
          <w:b/>
          <w:bCs/>
          <w:sz w:val="28"/>
          <w:szCs w:val="30"/>
          <w:lang w:eastAsia="pl-PL"/>
        </w:rPr>
        <w:t xml:space="preserve">Z PRZEZNACZENIEM NA PROWADZENIE </w:t>
      </w:r>
      <w:r w:rsidRPr="009840F3">
        <w:rPr>
          <w:rFonts w:ascii="Times New Roman" w:eastAsia="Times New Roman" w:hAnsi="Times New Roman" w:cs="Times New Roman"/>
          <w:b/>
          <w:bCs/>
          <w:sz w:val="28"/>
          <w:szCs w:val="30"/>
          <w:lang w:eastAsia="pl-PL"/>
        </w:rPr>
        <w:t>APTEKI OGÓLNODOSTĘPNEJ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</w:t>
      </w:r>
    </w:p>
    <w:p w:rsidR="00E42549" w:rsidRPr="00AB2D70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Samodzielny Publiczny Zakład Opieki Zdrowotnej w Szamotułach, ul. Sukiennicza 13 (zwany dalej: SP ZOZ w Szamotułach)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72 Kodeksu cywilnego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negocjacji w sprawie wynajmu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użytkowego o powierzchni 136 m</w:t>
      </w:r>
      <w:r w:rsidRPr="00CA3D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pro</w:t>
      </w:r>
      <w:r w:rsidR="007C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wadzenie apteki ogólnodostępnej, 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</w:t>
      </w:r>
      <w:r w:rsidR="007C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miesięcy licząc od dnia zawarcia umowy. </w:t>
      </w:r>
    </w:p>
    <w:p w:rsidR="00CA3D24" w:rsidRPr="00AB2D70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Zgłoszenia zainteresowanych celem </w:t>
      </w:r>
      <w:r w:rsidR="00EB2BD5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>umówienia spotkania i przeprowadzenia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negocjacji należy dokonywać </w:t>
      </w:r>
      <w:r w:rsidR="00540D28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 w:rsidR="009840F3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0D28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do 13 lipca 2018r. </w:t>
      </w:r>
      <w:r w:rsidR="008B3364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pod n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telefonu </w:t>
      </w:r>
      <w:r w:rsidR="00EB2BD5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Sekretariatu SPZOZ Szamotuły: 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>61 292 71 01</w:t>
      </w:r>
      <w:r w:rsidR="00AB2D70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0D28"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364" w:rsidRDefault="00CA3D24" w:rsidP="008B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40D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4254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przystąpienia do negocjacji </w:t>
      </w:r>
      <w:r w:rsidR="00E42549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 powinien przedłożyć: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 aktualny odpis z właściwego rejestru sądowego względnie aktualne zaświadczenie </w:t>
      </w:r>
      <w:r w:rsidR="00BF0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wpisie do ewidencji działalności gospodarczej, wystawione nie wcześniej niż na </w:t>
      </w:r>
      <w:r w:rsidR="00BF0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miesiące przed upływem terminu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wskazanego w pkt 1.2.</w:t>
      </w:r>
      <w:r w:rsidR="00540D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3364" w:rsidRDefault="00CA3D24" w:rsidP="008B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zaakceptowany przez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zainteresowanego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um</w:t>
      </w:r>
      <w:r w:rsidR="008B3364">
        <w:rPr>
          <w:rFonts w:ascii="Times New Roman" w:eastAsia="Times New Roman" w:hAnsi="Times New Roman" w:cs="Times New Roman"/>
          <w:sz w:val="24"/>
          <w:szCs w:val="24"/>
          <w:lang w:eastAsia="pl-PL"/>
        </w:rPr>
        <w:t>owy przedstawiony w załączniku</w:t>
      </w:r>
      <w:r w:rsidR="005E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braku akceptacji – projekt zmian zapisów do umowy</w:t>
      </w:r>
      <w:r w:rsidR="008B33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3364" w:rsidRDefault="00CA3D24" w:rsidP="008B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w przypadku występowania pełnomocnika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upoważnienie do składania oświadczeń woli i zaciągania</w:t>
      </w:r>
      <w:r w:rsidR="008B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zobowiązań w imieniu oferenta;</w:t>
      </w:r>
    </w:p>
    <w:p w:rsidR="008B3364" w:rsidRDefault="00CA3D24" w:rsidP="008B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aktualne zaświadczenia z właściwego oddziału ZUS i właściwego Naczelnika Urzędu Skarbowego o niezaleganiu ze składkami ubezpieczeniowymi i podatkami za ostatnie </w:t>
      </w:r>
      <w:r w:rsidR="00BF0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miesiące przed upływem </w:t>
      </w:r>
      <w:r w:rsidR="00EB2BD5" w:rsidRP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wskazanego w pkt 1.2.</w:t>
      </w:r>
      <w:r w:rsidR="008B33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3D24" w:rsidRPr="00CA3D24" w:rsidRDefault="005E5230" w:rsidP="008B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) oświadczenie o braku powiązań</w:t>
      </w:r>
      <w:r w:rsidR="00E425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1.</w:t>
      </w:r>
      <w:r w:rsidR="00E425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uprawniona do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nie może być pracownikiem SPZOZ w Szamotułach, nie może być także wobec SPZOZ </w:t>
      </w:r>
      <w:r w:rsidR="00BF0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w Szamotułach stroną umów cywilnoprawnych na świadczenie usług lub dostaw.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 Najemca zobowiązany jest do przedłożenia poświadczonej za zgodność z oryginałem kserokopii zezwolenia na prowadzeni</w:t>
      </w:r>
      <w:r w:rsidR="005E5230">
        <w:rPr>
          <w:rFonts w:ascii="Times New Roman" w:eastAsia="Times New Roman" w:hAnsi="Times New Roman" w:cs="Times New Roman"/>
          <w:sz w:val="24"/>
          <w:szCs w:val="24"/>
          <w:lang w:eastAsia="pl-PL"/>
        </w:rPr>
        <w:t>e apteki ogólnodostępnej, o którym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99 ust. 1 ustawy z dnia 6 września 2001r. Prawo farmaceutyczne (tj. Dz.U.2017.2211 ze 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zm.) w terminie 3 miesięcy od daty podpisania umowy. W przypadku gdy termin ten nie zostanie zachowany z powodu nieotrzymania zezwolenia, o którym mowa w art. 99 ust. 3e ustawy z dnia 6 września 2001r. Prawo farmaceutyczne (Dz.U.2017.2211 ze zm.) od najemcy, umowa zostanie rozwiązana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takiej sytuacji 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miał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zwrotu uiszczonego czynszu z zastrzeżeniem pkt. 1.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2B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 W okresie pierwszych trzech miesięcy, jednak nie dłużej niż do czasu uzyskania zezwolenia na prowadzenie apteki o którym mowa wyżej, najemca opłacać będzie czynsz w wys. 50% ustalonej wysokości. Wskazany termin 3 miesięcy może zostać przedłużony na umotywowany wniosek najemcy ale tylko z przyczyn niezależnych od najemcy i tylko raz.</w:t>
      </w:r>
    </w:p>
    <w:p w:rsidR="00BF0346" w:rsidRPr="00CA3D24" w:rsidRDefault="00BF0346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D24" w:rsidRPr="00CA3D24" w:rsidRDefault="00CA3D24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</w:t>
      </w:r>
      <w:r w:rsidR="00E4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NAJMU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negocjacji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wynajem lokalu użytkowego z przeznaczeniem na prowadzenie apteki ogólnodostępnej o łącznej powierzchni 136 m</w:t>
      </w:r>
      <w:r w:rsidRPr="00CA3D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mieszczący się na terenie Samodzielnego Publicznego Zakładu Opieki Zdrowotnej w Szamotułach, </w:t>
      </w:r>
      <w:r w:rsidR="00984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Sukiennicza 13.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2.2. Lokal jest do wynajęcia wraz z wyposażeniem, określonym w załączniku, przygotowany do prowadzenia apteki ogólnodostępnej, spełniający aktualne wymagania techniczno - budowlane do prowadzenia wskazanej działalności.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 Lokal apteczny nie spełnia wymogów, o których mowa w art. 99 ust. 3b ustawy </w:t>
      </w:r>
      <w:r w:rsidR="00BF0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2001 r. Prawo farmaceutyczne (tj. Dz.U.2017.2211 ze zm.) i wymaga uzyskania zezwolenia o którym mowa w art. 99 ust. 3e ustawy z dnia 6 września 2001r. Prawo farmaceutyczne (tj. Dz.U.2017.2211 ze zm.).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 załączniku</w:t>
      </w:r>
      <w:r w:rsidR="00C0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wyposażenie, które jest uwzględnione w przedmiocie najmu. Najemca będzie zobowiązany do doposażenia lokalu w niezbędny sprzęt, w celu do prawidłowego funkcjonowania apteki ogólnodostępnej. (m.in. serwer, komputery, drukarki, </w:t>
      </w:r>
      <w:proofErr w:type="spellStart"/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UPSy</w:t>
      </w:r>
      <w:proofErr w:type="spellEnd"/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, wagi, witryny chłodnicze, suszarka laboratoryjna, etc.).</w:t>
      </w:r>
    </w:p>
    <w:p w:rsid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425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E2DA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zawarciu umowy najmu obowiązany będzie do ubezpieczenia lokalu od odpowiedzialności cywilnej, przy czym zakres ubezpieczenia obejmuje m.in. wentylację mechaniczną, klimatyzację, nagrzewnice kurtyny powietrzne, system alarmowy, system monitoringu, platformę dla niepełnosprawnych. </w:t>
      </w:r>
      <w:r w:rsidR="009E2DA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przedłożyć do SPZOZ dowód ubezpieczenia lokalu w ciągu 30 dni od daty przejęcia apteki ogólnodostępnej. Ubezpieczenie musi być zawarte z dniem przejęcie apteki ogólnodostępnej. </w:t>
      </w:r>
    </w:p>
    <w:p w:rsidR="007C6669" w:rsidRDefault="007C6669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5230" w:rsidRDefault="005E5230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A3D24" w:rsidRPr="00CA3D24" w:rsidRDefault="00CA3D24" w:rsidP="00CA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 KRYTERIA WYBORU </w:t>
      </w:r>
      <w:r w:rsidR="00120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NAJEMCY</w:t>
      </w:r>
    </w:p>
    <w:p w:rsid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Kryterium wyboru </w:t>
      </w:r>
      <w:r w:rsidR="009E2DA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najemcy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cena stawki za 1m</w:t>
      </w:r>
      <w:r w:rsidRPr="00CA3D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oraz oferowany czas d</w:t>
      </w:r>
      <w:r w:rsidR="007C6669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ostępności apteki dla Klientów.</w:t>
      </w:r>
    </w:p>
    <w:p w:rsidR="00AB2D70" w:rsidRPr="00AB2D70" w:rsidRDefault="00AB2D70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I: cena= miesięczna stawka </w:t>
      </w:r>
      <w:r w:rsidR="007C666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najmu za 1m</w:t>
      </w:r>
      <w:r w:rsidRPr="007C6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wynajmowanej powierzchni lokalu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0%, </w:t>
      </w:r>
    </w:p>
    <w:p w:rsidR="00AB2D70" w:rsidRPr="00AB2D70" w:rsidRDefault="00AB2D70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II: łączny </w:t>
      </w:r>
      <w:r w:rsidR="007C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tygodniowy 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dostępności apteki </w:t>
      </w:r>
      <w:r w:rsidR="007C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</w:t>
      </w:r>
    </w:p>
    <w:p w:rsidR="007C6669" w:rsidRDefault="007C6669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D70" w:rsidRPr="007C6669" w:rsidRDefault="00AB2D70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ofert:</w:t>
      </w:r>
    </w:p>
    <w:p w:rsidR="00AB2D70" w:rsidRPr="00AB2D70" w:rsidRDefault="00AB2D70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I:</w:t>
      </w:r>
    </w:p>
    <w:p w:rsidR="00AB2D70" w:rsidRPr="007C6669" w:rsidRDefault="00060CA6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18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24"/>
                  <w:lang w:eastAsia="pl-PL"/>
                </w:rPr>
                <m:t>cena brutto oferty badane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24"/>
                  <w:lang w:eastAsia="pl-PL"/>
                </w:rPr>
                <m:t>najwyższa cena brutto spośród oferowanych</m:t>
              </m:r>
            </m:den>
          </m:f>
          <m:r>
            <w:rPr>
              <w:rFonts w:ascii="Cambria Math" w:eastAsia="Times New Roman" w:hAnsi="Cambria Math" w:cs="Times New Roman"/>
              <w:sz w:val="18"/>
              <w:szCs w:val="24"/>
              <w:lang w:eastAsia="pl-PL"/>
            </w:rPr>
            <m:t>×80pkt.=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18"/>
              <w:szCs w:val="24"/>
              <w:lang w:eastAsia="pl-PL"/>
            </w:rPr>
            <m:t>uzyskana liczba punktów</m:t>
          </m:r>
        </m:oMath>
      </m:oMathPara>
    </w:p>
    <w:p w:rsidR="00AB2D70" w:rsidRDefault="00AB2D70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D70" w:rsidRPr="00AB2D70" w:rsidRDefault="00AB2D70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II</w:t>
      </w:r>
    </w:p>
    <w:p w:rsidR="00AB2D70" w:rsidRPr="007C6669" w:rsidRDefault="00060CA6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18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24"/>
                  <w:lang w:eastAsia="pl-PL"/>
                </w:rPr>
                <m:t>tygodniowy czas dostępności oferty badanej (liczony w godz.)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24"/>
                  <w:lang w:eastAsia="pl-PL"/>
                </w:rPr>
                <m:t>najwyższy tygodniowy czas dostępności spośród ofert (liczony w godz.)</m:t>
              </m:r>
            </m:den>
          </m:f>
          <m:r>
            <w:rPr>
              <w:rFonts w:ascii="Cambria Math" w:eastAsia="Times New Roman" w:hAnsi="Cambria Math" w:cs="Times New Roman"/>
              <w:sz w:val="18"/>
              <w:szCs w:val="24"/>
              <w:lang w:eastAsia="pl-PL"/>
            </w:rPr>
            <m:t>×20pkt.=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18"/>
              <w:szCs w:val="24"/>
              <w:lang w:eastAsia="pl-PL"/>
            </w:rPr>
            <m:t>uzyskana liczba punktów</m:t>
          </m:r>
        </m:oMath>
      </m:oMathPara>
    </w:p>
    <w:p w:rsidR="007C6669" w:rsidRDefault="007C6669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D70" w:rsidRPr="00CA3D24" w:rsidRDefault="00AB2D70" w:rsidP="00A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D7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najkorzystniejsza oferta zostanie wybrana ta oferta, która otrzyma łącznie najwyższą liczbę punktów w wyniku zsumowania punktacji oferty ocenionej wg Kryterium I oraz Kryterium II.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3.2. Do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wynegocjowanej</w:t>
      </w: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czynszu doliczony zostanie należny podatek VAT. Stawka bazowa czynszu podlega waloryzacji na dzień 1 marca każdego roku kalendarzowego wg wzrostu wskaźnika cen towarów i usług konsumpcyjnych opublikowanego przez GUS w Dzienniku Urzędowym</w:t>
      </w:r>
      <w:r w:rsidR="00FD60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3D24" w:rsidRPr="00CA3D24" w:rsidRDefault="00CA3D24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3.3. Oprócz czynszu, najemca będzie zobowiązany do ponoszenia kosztów eksploatacyjnych w każdym miesiącu kalendarzowym, na które składają się opłaty za media (energia elektryczna, woda zimna, ciepła, ścieki, ogrzewanie - koszty ustalane na podstawie urządzeń pomiarowych i zasad ustalonych przez dostawców), opłaty za wywóz nieczystości komunalnych, stała zryczałtowana opłata za korzystanie z części wspólnych (utrzymanie czystości przed budynkiem, na parkingu, konserwacja podnośnika), opłata za utylizację zużytych materiałów aptecznych. Wysokość opłat za media i usługi będzie wynikać z taryfy obowiązującej Szpital i może ulec zmianie.</w:t>
      </w:r>
    </w:p>
    <w:p w:rsidR="009840F3" w:rsidRDefault="009840F3" w:rsidP="0012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3D24" w:rsidRPr="00CA3D24" w:rsidRDefault="00CA3D24" w:rsidP="0012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120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CA3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WYBÓR </w:t>
      </w:r>
      <w:r w:rsidR="00120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NAJEMCY</w:t>
      </w:r>
    </w:p>
    <w:p w:rsidR="00CA3D24" w:rsidRPr="00CA3D24" w:rsidRDefault="00FD60DC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Strony zawrą umowę najmu 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negocjacji</w:t>
      </w:r>
      <w:r w:rsidR="00120FF9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określonych we wzorze umowy stanowiącym załącznik.</w:t>
      </w:r>
    </w:p>
    <w:p w:rsidR="00CA3D24" w:rsidRPr="00CA3D24" w:rsidRDefault="00FD60DC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SPZOZ w Szamotułach niezwłocznie zawiadomi 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negocjacji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D24" w:rsidRDefault="00FD60DC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SPZOZ w Szamotułach zastrzega sobie prawo </w:t>
      </w:r>
      <w:r w:rsidR="00120FF9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 negocjacji</w:t>
      </w:r>
      <w:r w:rsidR="00CA3D24"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 bądź przedłużenia terminów podanych w niniejszym ogłoszeniu.</w:t>
      </w:r>
    </w:p>
    <w:p w:rsidR="009840F3" w:rsidRPr="00CA3D24" w:rsidRDefault="009840F3" w:rsidP="00CA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346" w:rsidRDefault="00CA3D24" w:rsidP="00BF034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</w:t>
      </w:r>
    </w:p>
    <w:p w:rsidR="00CA3D24" w:rsidRDefault="00CA3D24" w:rsidP="00BF034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Zdrowotnej w Szamotułach</w:t>
      </w:r>
    </w:p>
    <w:p w:rsidR="009840F3" w:rsidRPr="00CA3D24" w:rsidRDefault="009840F3" w:rsidP="00BF034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D24" w:rsidRPr="00CA3D24" w:rsidRDefault="00BF0346" w:rsidP="00BF034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8B3364" w:rsidRPr="009840F3" w:rsidRDefault="00CA3D24" w:rsidP="009840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4">
        <w:rPr>
          <w:rFonts w:ascii="Times New Roman" w:eastAsia="Times New Roman" w:hAnsi="Times New Roman" w:cs="Times New Roman"/>
          <w:sz w:val="24"/>
          <w:szCs w:val="24"/>
          <w:lang w:eastAsia="pl-PL"/>
        </w:rPr>
        <w:t>Remigiusz Pawelc</w:t>
      </w:r>
      <w:r w:rsidR="009840F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35FA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:rsidR="007C6669" w:rsidRDefault="007C6669" w:rsidP="00BF0346">
      <w:pPr>
        <w:pStyle w:val="NormalnyWeb"/>
        <w:spacing w:before="0" w:beforeAutospacing="0" w:after="0" w:afterAutospacing="0"/>
      </w:pPr>
    </w:p>
    <w:p w:rsidR="007C6669" w:rsidRDefault="007C6669" w:rsidP="00BF0346">
      <w:pPr>
        <w:pStyle w:val="NormalnyWeb"/>
        <w:spacing w:before="0" w:beforeAutospacing="0" w:after="0" w:afterAutospacing="0"/>
      </w:pPr>
    </w:p>
    <w:p w:rsidR="00C01942" w:rsidRDefault="00C01942" w:rsidP="00BF0346">
      <w:pPr>
        <w:pStyle w:val="NormalnyWeb"/>
        <w:spacing w:before="0" w:beforeAutospacing="0" w:after="0" w:afterAutospacing="0"/>
      </w:pPr>
      <w:r>
        <w:t>Załączniki:</w:t>
      </w:r>
    </w:p>
    <w:p w:rsidR="00BF0346" w:rsidRDefault="00C01942" w:rsidP="00BF0346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Wyposażenie na stanie.  </w:t>
      </w:r>
    </w:p>
    <w:p w:rsidR="00BF0346" w:rsidRDefault="00BF0346" w:rsidP="00BF0346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Projekt umowy.</w:t>
      </w:r>
    </w:p>
    <w:p w:rsidR="00BF0346" w:rsidRPr="00120FF9" w:rsidRDefault="00BF0346" w:rsidP="00BF0346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Rzut pomieszczenia lokalu.</w:t>
      </w:r>
    </w:p>
    <w:p w:rsidR="00BF0346" w:rsidRDefault="00C01942" w:rsidP="00BF0346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C01942">
        <w:t>Zdjęcia lokalu</w:t>
      </w:r>
      <w:r>
        <w:t xml:space="preserve">. </w:t>
      </w:r>
    </w:p>
    <w:sectPr w:rsidR="00BF0346" w:rsidSect="007E1E5A">
      <w:footerReference w:type="default" r:id="rId7"/>
      <w:pgSz w:w="11906" w:h="16838"/>
      <w:pgMar w:top="1418" w:right="1418" w:bottom="255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A6" w:rsidRDefault="00060CA6" w:rsidP="009E2DA6">
      <w:pPr>
        <w:spacing w:after="0" w:line="240" w:lineRule="auto"/>
      </w:pPr>
      <w:r>
        <w:separator/>
      </w:r>
    </w:p>
  </w:endnote>
  <w:endnote w:type="continuationSeparator" w:id="0">
    <w:p w:rsidR="00060CA6" w:rsidRDefault="00060CA6" w:rsidP="009E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191081"/>
      <w:docPartObj>
        <w:docPartGallery w:val="Page Numbers (Bottom of Page)"/>
        <w:docPartUnique/>
      </w:docPartObj>
    </w:sdtPr>
    <w:sdtEndPr/>
    <w:sdtContent>
      <w:p w:rsidR="009E2DA6" w:rsidRDefault="009E2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30">
          <w:rPr>
            <w:noProof/>
          </w:rPr>
          <w:t>4</w:t>
        </w:r>
        <w:r>
          <w:fldChar w:fldCharType="end"/>
        </w:r>
      </w:p>
    </w:sdtContent>
  </w:sdt>
  <w:p w:rsidR="009E2DA6" w:rsidRDefault="009E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A6" w:rsidRDefault="00060CA6" w:rsidP="009E2DA6">
      <w:pPr>
        <w:spacing w:after="0" w:line="240" w:lineRule="auto"/>
      </w:pPr>
      <w:r>
        <w:separator/>
      </w:r>
    </w:p>
  </w:footnote>
  <w:footnote w:type="continuationSeparator" w:id="0">
    <w:p w:rsidR="00060CA6" w:rsidRDefault="00060CA6" w:rsidP="009E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7AC"/>
    <w:multiLevelType w:val="multilevel"/>
    <w:tmpl w:val="8BD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94C1F"/>
    <w:multiLevelType w:val="hybridMultilevel"/>
    <w:tmpl w:val="9074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4039"/>
    <w:multiLevelType w:val="hybridMultilevel"/>
    <w:tmpl w:val="FBAC8CB0"/>
    <w:lvl w:ilvl="0" w:tplc="499C4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13A5"/>
    <w:multiLevelType w:val="hybridMultilevel"/>
    <w:tmpl w:val="A016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7"/>
    <w:rsid w:val="00006922"/>
    <w:rsid w:val="00035FA4"/>
    <w:rsid w:val="00036527"/>
    <w:rsid w:val="00060CA6"/>
    <w:rsid w:val="00113317"/>
    <w:rsid w:val="00120FF9"/>
    <w:rsid w:val="001B54E5"/>
    <w:rsid w:val="002D5FCA"/>
    <w:rsid w:val="00305F58"/>
    <w:rsid w:val="00335919"/>
    <w:rsid w:val="00336BC3"/>
    <w:rsid w:val="003577B7"/>
    <w:rsid w:val="003A2B08"/>
    <w:rsid w:val="003D6B91"/>
    <w:rsid w:val="0053203F"/>
    <w:rsid w:val="00540D28"/>
    <w:rsid w:val="005D50D5"/>
    <w:rsid w:val="005D7CBA"/>
    <w:rsid w:val="005E5230"/>
    <w:rsid w:val="006030A1"/>
    <w:rsid w:val="0070540F"/>
    <w:rsid w:val="007C6669"/>
    <w:rsid w:val="007E1E5A"/>
    <w:rsid w:val="008053A0"/>
    <w:rsid w:val="00812A63"/>
    <w:rsid w:val="008429D8"/>
    <w:rsid w:val="00865A5F"/>
    <w:rsid w:val="008B3364"/>
    <w:rsid w:val="008F5FAA"/>
    <w:rsid w:val="00955D74"/>
    <w:rsid w:val="009840F3"/>
    <w:rsid w:val="009E2DA6"/>
    <w:rsid w:val="009E4233"/>
    <w:rsid w:val="00AB2D70"/>
    <w:rsid w:val="00B078F8"/>
    <w:rsid w:val="00B53C62"/>
    <w:rsid w:val="00BF0346"/>
    <w:rsid w:val="00C01942"/>
    <w:rsid w:val="00CA3D24"/>
    <w:rsid w:val="00DF2269"/>
    <w:rsid w:val="00E30887"/>
    <w:rsid w:val="00E42549"/>
    <w:rsid w:val="00EB2BD5"/>
    <w:rsid w:val="00F85DBF"/>
    <w:rsid w:val="00F86F9D"/>
    <w:rsid w:val="00F957EC"/>
    <w:rsid w:val="00FA0C7F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7DBB-76B2-4CAC-A446-24FB39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3577B7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08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7C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D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D2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0D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A6"/>
  </w:style>
  <w:style w:type="paragraph" w:styleId="Stopka">
    <w:name w:val="footer"/>
    <w:basedOn w:val="Normalny"/>
    <w:link w:val="StopkaZnak"/>
    <w:uiPriority w:val="99"/>
    <w:unhideWhenUsed/>
    <w:rsid w:val="009E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DA6"/>
  </w:style>
  <w:style w:type="paragraph" w:styleId="NormalnyWeb">
    <w:name w:val="Normal (Web)"/>
    <w:basedOn w:val="Normalny"/>
    <w:uiPriority w:val="99"/>
    <w:unhideWhenUsed/>
    <w:rsid w:val="00C0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Engelgardt &amp; Wspólnicy Kancelaria Adwokatów i Radców</dc:creator>
  <cp:lastModifiedBy>Marek Maćkowiak</cp:lastModifiedBy>
  <cp:revision>6</cp:revision>
  <cp:lastPrinted>2017-02-10T14:21:00Z</cp:lastPrinted>
  <dcterms:created xsi:type="dcterms:W3CDTF">2018-07-08T19:13:00Z</dcterms:created>
  <dcterms:modified xsi:type="dcterms:W3CDTF">2018-07-09T13:46:00Z</dcterms:modified>
</cp:coreProperties>
</file>